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="微软雅黑" w:hAnsi="微软雅黑" w:eastAsia="微软雅黑" w:cs="Times New Roman"/>
          <w:b/>
          <w:color w:val="C0504D" w:themeColor="accent2"/>
          <w:sz w:val="36"/>
          <w:szCs w:val="36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Times New Roman"/>
          <w:b/>
          <w:color w:val="C0504D" w:themeColor="accent2"/>
          <w:sz w:val="36"/>
          <w:szCs w:val="36"/>
          <w14:textFill>
            <w14:solidFill>
              <w14:schemeClr w14:val="accent2"/>
            </w14:solidFill>
          </w14:textFill>
        </w:rPr>
        <w:t>中国人民大学商学院</w:t>
      </w:r>
    </w:p>
    <w:p>
      <w:pPr>
        <w:spacing w:line="600" w:lineRule="exact"/>
        <w:jc w:val="center"/>
        <w:rPr>
          <w:rFonts w:ascii="微软雅黑" w:hAnsi="微软雅黑" w:eastAsia="微软雅黑" w:cs="Times New Roman"/>
          <w:b/>
          <w:color w:val="C0504D" w:themeColor="accent2"/>
          <w:sz w:val="36"/>
          <w:szCs w:val="36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Times New Roman"/>
          <w:b/>
          <w:color w:val="C0504D" w:themeColor="accent2"/>
          <w:sz w:val="36"/>
          <w:szCs w:val="36"/>
          <w14:textFill>
            <w14:solidFill>
              <w14:schemeClr w14:val="accent2"/>
            </w14:solidFill>
          </w14:textFill>
        </w:rPr>
        <w:t>国有企业管理人员经营管理课程</w:t>
      </w:r>
    </w:p>
    <w:p>
      <w:pPr>
        <w:spacing w:line="600" w:lineRule="exact"/>
        <w:jc w:val="center"/>
        <w:rPr>
          <w:rFonts w:ascii="微软雅黑" w:hAnsi="微软雅黑" w:eastAsia="微软雅黑" w:cs="Times New Roman"/>
          <w:b/>
          <w:color w:val="C0504D" w:themeColor="accent2"/>
          <w:sz w:val="36"/>
          <w:szCs w:val="36"/>
          <w14:textFill>
            <w14:solidFill>
              <w14:schemeClr w14:val="accent2"/>
            </w14:solidFill>
          </w14:textFill>
        </w:rPr>
      </w:pPr>
    </w:p>
    <w:p>
      <w:pPr>
        <w:spacing w:line="600" w:lineRule="exact"/>
        <w:jc w:val="left"/>
        <w:rPr>
          <w:rFonts w:ascii="微软雅黑" w:hAnsi="微软雅黑" w:eastAsia="微软雅黑" w:cs="Times New Roman"/>
          <w:b/>
          <w:color w:val="C0504D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Times New Roman"/>
          <w:b/>
          <w:color w:val="C0504D" w:themeColor="accent2"/>
          <w:sz w:val="28"/>
          <w:szCs w:val="28"/>
          <w14:textFill>
            <w14:solidFill>
              <w14:schemeClr w14:val="accent2"/>
            </w14:solidFill>
          </w14:textFill>
        </w:rPr>
        <w:t>课程总览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为了适应经济发展新常态、供给侧结构性改革、经济全球化等对国有企业改革和国企管理人员提出的新要求，提升国企管理水平和竞争力，2016年9月中共中央组织部、财政部、教育部联合印发了《关于进一步规范和加强中央企业中长期经营管理培训工作的通知》。《通知》指出：为了深入学习贯彻习近平总书记系列重要讲话精神，特别是关于国有企业改革的重要指示要求，全面贯彻落实党中央、国务院对国有企业改革发展的决策部署，提高国有企业经营管理人员综合素质和专业化能力，着眼于国有企业改革发展和管理骨干队伍建设的需要，开展系统的中长期经营管理培训。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中国人民大学是</w:t>
      </w:r>
      <w:r>
        <w:rPr>
          <w:rFonts w:hint="eastAsia" w:ascii="微软雅黑" w:hAnsi="微软雅黑" w:eastAsia="微软雅黑" w:cs="微软雅黑"/>
          <w:b/>
          <w:bCs/>
          <w:szCs w:val="21"/>
        </w:rPr>
        <w:t>中组部首批“国家级干部教育高校培训基地”之一</w:t>
      </w:r>
      <w:r>
        <w:rPr>
          <w:rFonts w:hint="eastAsia" w:ascii="微软雅黑" w:hAnsi="微软雅黑" w:eastAsia="微软雅黑" w:cs="微软雅黑"/>
          <w:bCs/>
          <w:szCs w:val="21"/>
        </w:rPr>
        <w:t>，在教育部第四次评估（2017年）中</w:t>
      </w:r>
      <w:r>
        <w:rPr>
          <w:rFonts w:hint="eastAsia" w:ascii="微软雅黑" w:hAnsi="微软雅黑" w:eastAsia="微软雅黑" w:cs="微软雅黑"/>
          <w:b/>
          <w:bCs/>
          <w:szCs w:val="21"/>
        </w:rPr>
        <w:t>“工商管理学科”全国排名蝉联第一，</w:t>
      </w:r>
      <w:r>
        <w:rPr>
          <w:rFonts w:hint="eastAsia" w:ascii="微软雅黑" w:hAnsi="微软雅黑" w:eastAsia="微软雅黑" w:cs="微软雅黑"/>
          <w:bCs/>
          <w:szCs w:val="21"/>
        </w:rPr>
        <w:t>2017年首批入选国家“世界一流大学和一流学科”建设名单。为了落实《通知》，中国人民大学商学院专门为国有企业管理人员量身定制了“国有企业管理人员经营管理课程”，旨在提高国有企业经营管理人员的综合管理素质和专业化能力，为国企改革的进程提供高水平的管理人才，推动国有企业做大做强做优。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31859C" w:themeColor="accent5" w:themeShade="BF"/>
          <w:sz w:val="24"/>
          <w:szCs w:val="24"/>
        </w:rPr>
      </w:pPr>
    </w:p>
    <w:p>
      <w:pPr>
        <w:spacing w:line="600" w:lineRule="exact"/>
        <w:jc w:val="left"/>
        <w:rPr>
          <w:rFonts w:ascii="微软雅黑" w:hAnsi="微软雅黑" w:eastAsia="微软雅黑" w:cs="微软雅黑"/>
          <w:b/>
          <w:color w:val="C0504D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C0504D" w:themeColor="accent2"/>
          <w:sz w:val="28"/>
          <w:szCs w:val="28"/>
          <w14:textFill>
            <w14:solidFill>
              <w14:schemeClr w14:val="accent2"/>
            </w14:solidFill>
          </w14:textFill>
        </w:rPr>
        <w:t>课程对象</w:t>
      </w:r>
    </w:p>
    <w:p>
      <w:pPr>
        <w:pStyle w:val="17"/>
        <w:spacing w:line="400" w:lineRule="exact"/>
        <w:ind w:left="420"/>
        <w:rPr>
          <w:rFonts w:ascii="微软雅黑" w:hAnsi="微软雅黑" w:eastAsia="微软雅黑" w:cs="微软雅黑"/>
          <w:bCs/>
          <w:color w:val="auto"/>
          <w:kern w:val="2"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color w:val="auto"/>
          <w:kern w:val="2"/>
          <w:sz w:val="21"/>
          <w:szCs w:val="21"/>
        </w:rPr>
        <w:t>国有企业管理人员，5年以上管理经验，大专以上学历。</w:t>
      </w:r>
    </w:p>
    <w:p>
      <w:pPr>
        <w:pStyle w:val="17"/>
        <w:spacing w:line="400" w:lineRule="exact"/>
        <w:ind w:left="420"/>
        <w:rPr>
          <w:rFonts w:ascii="微软雅黑" w:hAnsi="微软雅黑" w:eastAsia="微软雅黑" w:cs="微软雅黑"/>
          <w:bCs/>
          <w:color w:val="auto"/>
          <w:kern w:val="2"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color w:val="auto"/>
          <w:kern w:val="2"/>
          <w:sz w:val="21"/>
          <w:szCs w:val="21"/>
        </w:rPr>
        <w:t>此课程仅限国有企业管理人员，独立编班。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31859C" w:themeColor="accent5" w:themeShade="BF"/>
          <w:sz w:val="24"/>
          <w:szCs w:val="24"/>
        </w:rPr>
      </w:pPr>
    </w:p>
    <w:p>
      <w:pPr>
        <w:spacing w:line="600" w:lineRule="exact"/>
        <w:jc w:val="left"/>
        <w:rPr>
          <w:rFonts w:ascii="微软雅黑" w:hAnsi="微软雅黑" w:eastAsia="微软雅黑" w:cs="微软雅黑"/>
          <w:b/>
          <w:color w:val="C0504D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C0504D" w:themeColor="accent2"/>
          <w:sz w:val="28"/>
          <w:szCs w:val="28"/>
          <w14:textFill>
            <w14:solidFill>
              <w14:schemeClr w14:val="accent2"/>
            </w14:solidFill>
          </w14:textFill>
        </w:rPr>
        <w:t>课程价值</w:t>
      </w:r>
    </w:p>
    <w:p>
      <w:pPr>
        <w:numPr>
          <w:ilvl w:val="0"/>
          <w:numId w:val="1"/>
        </w:numPr>
        <w:spacing w:line="42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获取先进企业管理知识，掌握管理的核心知识，提高国有企业管理人员综合管理能力</w:t>
      </w:r>
    </w:p>
    <w:p>
      <w:pPr>
        <w:numPr>
          <w:ilvl w:val="0"/>
          <w:numId w:val="1"/>
        </w:numPr>
        <w:spacing w:line="42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破解国有企业改革的关键问题，探寻国企转型升级的路径与方法</w:t>
      </w:r>
    </w:p>
    <w:p>
      <w:pPr>
        <w:numPr>
          <w:ilvl w:val="0"/>
          <w:numId w:val="1"/>
        </w:numPr>
        <w:spacing w:line="42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了解供给侧改革和结构调整，提升创新领导力</w:t>
      </w:r>
      <w:r>
        <w:rPr>
          <w:rFonts w:hint="eastAsia" w:ascii="微软雅黑" w:hAnsi="微软雅黑" w:eastAsia="微软雅黑" w:cs="微软雅黑"/>
          <w:bCs/>
          <w:szCs w:val="21"/>
        </w:rPr>
        <w:t>，</w:t>
      </w:r>
      <w:r>
        <w:rPr>
          <w:rFonts w:hint="eastAsia" w:ascii="微软雅黑" w:hAnsi="微软雅黑" w:eastAsia="微软雅黑" w:cs="微软雅黑"/>
        </w:rPr>
        <w:t>掌握企业兼并重组的方法和策略</w:t>
      </w:r>
    </w:p>
    <w:p>
      <w:pPr>
        <w:numPr>
          <w:ilvl w:val="0"/>
          <w:numId w:val="1"/>
        </w:numPr>
        <w:spacing w:line="42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引入“行动学习”教学方式，把学与思、知与行结合起来，最终达到“知行合一”</w:t>
      </w:r>
    </w:p>
    <w:p>
      <w:pPr>
        <w:numPr>
          <w:ilvl w:val="0"/>
          <w:numId w:val="1"/>
        </w:numPr>
        <w:spacing w:line="420" w:lineRule="exac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通过邀请业界专家、国企高管分享实践中的经验，交流实践感悟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31859C" w:themeColor="accent5" w:themeShade="BF"/>
          <w:sz w:val="24"/>
          <w:szCs w:val="24"/>
        </w:rPr>
      </w:pPr>
    </w:p>
    <w:p>
      <w:pPr>
        <w:spacing w:line="600" w:lineRule="exact"/>
        <w:jc w:val="left"/>
        <w:rPr>
          <w:rFonts w:ascii="微软雅黑" w:hAnsi="微软雅黑" w:eastAsia="微软雅黑" w:cs="微软雅黑"/>
          <w:b/>
          <w:color w:val="C0504D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C0504D" w:themeColor="accent2"/>
          <w:sz w:val="28"/>
          <w:szCs w:val="28"/>
          <w14:textFill>
            <w14:solidFill>
              <w14:schemeClr w14:val="accent2"/>
            </w14:solidFill>
          </w14:textFill>
        </w:rPr>
        <w:t>教学特色</w:t>
      </w:r>
    </w:p>
    <w:p>
      <w:pPr>
        <w:spacing w:line="42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216535</wp:posOffset>
            </wp:positionV>
            <wp:extent cx="1836420" cy="1441450"/>
            <wp:effectExtent l="0" t="0" r="0" b="6350"/>
            <wp:wrapSquare wrapText="bothSides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840" t="-583" r="-16539" b="-1747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</w:rPr>
        <w:t>引入亨利•明茨伯格的IMPM中“行动学习”方式，通过以学习小组的形式聚焦真实难题的质疑、反思与行动的不断循环，实现组织、团队及个人的学习与成长。行动学习以问题为导向，在真实的商业情境中获得学习，在课堂上让知识就地转化为方案，在课后让领导力转化为工作实践，变被动学习为主动学习。在大家的相互承诺、相互激发下进行学习的过程，行动与学习是同时进行的，是一个在“做中学”+“学中做”的过程。把学与思、知与行结合起来，做到学用相长，融会贯通，最终达到“知行合一”。</w:t>
      </w:r>
    </w:p>
    <w:p>
      <w:pPr>
        <w:spacing w:line="600" w:lineRule="exact"/>
        <w:jc w:val="left"/>
        <w:rPr>
          <w:rFonts w:ascii="微软雅黑" w:hAnsi="微软雅黑" w:eastAsia="微软雅黑" w:cs="微软雅黑"/>
          <w:b/>
          <w:color w:val="C0504D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C0504D" w:themeColor="accent2"/>
          <w:sz w:val="28"/>
          <w:szCs w:val="28"/>
          <w14:textFill>
            <w14:solidFill>
              <w14:schemeClr w14:val="accent2"/>
            </w14:solidFill>
          </w14:textFill>
        </w:rPr>
        <w:t>课程设置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学制半年，共14天课程，必修课12天，选修课2天，每月一次，每次2-3天。</w:t>
      </w:r>
    </w:p>
    <w:p>
      <w:pPr>
        <w:spacing w:line="400" w:lineRule="exact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模块一、行动学习</w:t>
      </w:r>
    </w:p>
    <w:p>
      <w:pPr>
        <w:spacing w:line="400" w:lineRule="exac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行动学习导入</w:t>
      </w:r>
    </w:p>
    <w:p>
      <w:pPr>
        <w:spacing w:line="400" w:lineRule="exac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行动学习小组辅导</w:t>
      </w:r>
    </w:p>
    <w:p>
      <w:pPr>
        <w:spacing w:line="400" w:lineRule="exac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行动学习小组汇报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模块二、</w:t>
      </w:r>
      <w:r>
        <w:rPr>
          <w:rFonts w:hint="eastAsia" w:ascii="微软雅黑" w:hAnsi="微软雅黑" w:eastAsia="微软雅黑" w:cs="微软雅黑"/>
          <w:b/>
          <w:szCs w:val="21"/>
        </w:rPr>
        <w:t>国企改革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国企改革的走势及当前焦点问题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国企转型升级的路径与方法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国企产融结合实践与发展新路径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混合所有制改革策略与案例解读</w:t>
      </w:r>
    </w:p>
    <w:p>
      <w:pPr>
        <w:spacing w:line="400" w:lineRule="exact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模块三、竞争战略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战略与战略管理维度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战略制定的两种途径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战略创新变革与执行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产业链商业模式创新</w:t>
      </w:r>
    </w:p>
    <w:p>
      <w:pPr>
        <w:spacing w:line="400" w:lineRule="exact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模块四、决策者的财务管理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以价值创造为目标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以战略管理为导向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价值创造的战术思考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财务管理的控制手段</w:t>
      </w:r>
    </w:p>
    <w:p>
      <w:pPr>
        <w:spacing w:line="400" w:lineRule="exact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模块五、卓越领导力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领导力的构成与修炼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领导力与领导艺术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领导变革与卓越领导力</w:t>
      </w:r>
    </w:p>
    <w:p>
      <w:pPr>
        <w:spacing w:line="400" w:lineRule="exact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模块六、并购与重组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决策者的财务思维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并购的程序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并购战略与策略的选择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公司价值评估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交易结构设计</w:t>
      </w:r>
    </w:p>
    <w:p>
      <w:pPr>
        <w:spacing w:line="400" w:lineRule="exact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模块七、</w:t>
      </w:r>
      <w:r>
        <w:rPr>
          <w:rFonts w:hint="eastAsia" w:ascii="微软雅黑" w:hAnsi="微软雅黑" w:eastAsia="微软雅黑" w:cs="微软雅黑"/>
          <w:b/>
          <w:szCs w:val="21"/>
        </w:rPr>
        <w:t>人力资源管理创新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互联网时代的人力资源管理新挑战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中国企业人力资源管理实践及其启示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战略与人力资源的联系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领导力与人力资源管理</w:t>
      </w:r>
    </w:p>
    <w:p>
      <w:pPr>
        <w:spacing w:line="400" w:lineRule="exact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模块八、宏观经济分析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产业结构调整升级战略与政策分析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十九大之后经济发展的挑战与机遇</w:t>
      </w:r>
    </w:p>
    <w:p>
      <w:pPr>
        <w:spacing w:line="400" w:lineRule="exact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模块九、公司治理与经营风险防范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国企治理与内部控制常见失控及弊端诊断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国企治理路径、策略、技术方法及制度框架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国企常见经营风险梳理及其防范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依法治企及国企完善内部控制体系</w:t>
      </w:r>
    </w:p>
    <w:p>
      <w:pPr>
        <w:spacing w:line="400" w:lineRule="exact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模块十、选修课程（任选两天）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中国国企改革与发展论坛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中国人力资源管理年会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中国人民大学商学院新年论坛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中国产业升级与金融创新高峰论坛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中国财务管理全球论坛</w:t>
      </w:r>
    </w:p>
    <w:p>
      <w:pPr>
        <w:spacing w:line="400" w:lineRule="exact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参加课程的学员自动获得人大商学院校友资格，在所学课程之外，我们还提供一个高质量学习平台</w:t>
      </w:r>
    </w:p>
    <w:p>
      <w:pPr>
        <w:spacing w:line="360" w:lineRule="auto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</w:rPr>
        <w:t>学习交流：</w:t>
      </w:r>
      <w:r>
        <w:rPr>
          <w:rFonts w:hint="eastAsia" w:ascii="微软雅黑" w:hAnsi="微软雅黑" w:eastAsia="微软雅黑" w:cs="微软雅黑"/>
        </w:rPr>
        <w:t>大师课堂、首席沙龙、知名企业探访……</w:t>
      </w:r>
    </w:p>
    <w:p>
      <w:pPr>
        <w:spacing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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  <w:b/>
        </w:rPr>
        <w:t>年度盛典：</w:t>
      </w:r>
      <w:r>
        <w:rPr>
          <w:rFonts w:hint="eastAsia" w:ascii="微软雅黑" w:hAnsi="微软雅黑" w:eastAsia="微软雅黑" w:cs="微软雅黑"/>
        </w:rPr>
        <w:t>新年论坛、新年晚会暨年度人物评选颁奖典礼……</w:t>
      </w:r>
    </w:p>
    <w:p>
      <w:pPr>
        <w:spacing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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  <w:b/>
        </w:rPr>
        <w:t>校园重温：</w:t>
      </w:r>
      <w:r>
        <w:rPr>
          <w:rFonts w:hint="eastAsia" w:ascii="微软雅黑" w:hAnsi="微软雅黑" w:eastAsia="微软雅黑" w:cs="微软雅黑"/>
        </w:rPr>
        <w:t>商学院校友返校日、班级入学五周年和入学十周年返校……</w:t>
      </w:r>
    </w:p>
    <w:p>
      <w:pPr>
        <w:spacing w:line="360" w:lineRule="auto"/>
      </w:pPr>
      <w:r>
        <w:t></w:t>
      </w:r>
      <w:r>
        <w:tab/>
      </w:r>
    </w:p>
    <w:p>
      <w:pPr>
        <w:spacing w:line="600" w:lineRule="exact"/>
        <w:jc w:val="left"/>
        <w:rPr>
          <w:rFonts w:ascii="微软雅黑" w:hAnsi="微软雅黑" w:eastAsia="微软雅黑" w:cs="Times New Roman"/>
          <w:b/>
          <w:color w:val="C0504D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Times New Roman"/>
          <w:b/>
          <w:color w:val="C0504D" w:themeColor="accent2"/>
          <w:sz w:val="28"/>
          <w:szCs w:val="28"/>
          <w14:textFill>
            <w14:solidFill>
              <w14:schemeClr w14:val="accent2"/>
            </w14:solidFill>
          </w14:textFill>
        </w:rPr>
        <w:t>申请信息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800000"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证书授予：</w:t>
      </w:r>
    </w:p>
    <w:p>
      <w:pPr>
        <w:spacing w:line="360" w:lineRule="auto"/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完成规定课程的学习，经考核合格者，由中国人民大学颁发课程结业证书。</w:t>
      </w:r>
    </w:p>
    <w:p>
      <w:pPr>
        <w:spacing w:line="360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课程地点: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北京·中国人民大学</w:t>
      </w:r>
    </w:p>
    <w:p>
      <w:pPr>
        <w:spacing w:line="360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课程时间:</w:t>
      </w:r>
    </w:p>
    <w:p>
      <w:pPr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2020年</w:t>
      </w:r>
      <w:bookmarkStart w:id="1" w:name="_GoBack"/>
      <w:bookmarkEnd w:id="1"/>
      <w:r>
        <w:rPr>
          <w:rFonts w:hint="eastAsia" w:ascii="微软雅黑" w:hAnsi="微软雅黑" w:eastAsia="微软雅黑" w:cs="微软雅黑"/>
          <w:szCs w:val="21"/>
        </w:rPr>
        <w:t>开课，每期班招收40人，额满为止。</w:t>
      </w:r>
    </w:p>
    <w:p>
      <w:pPr>
        <w:spacing w:line="360" w:lineRule="auto"/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24765</wp:posOffset>
                </wp:positionV>
                <wp:extent cx="3586480" cy="807720"/>
                <wp:effectExtent l="9525" t="9525" r="15875" b="20955"/>
                <wp:wrapNone/>
                <wp:docPr id="4" name="圆角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6480" cy="807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ap="rnd">
                          <a:solidFill>
                            <a:srgbClr val="C00000"/>
                          </a:solidFill>
                          <a:prstDash val="sysDot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spacing w:line="340" w:lineRule="exact"/>
                              <w:rPr>
                                <w:rFonts w:ascii="微软雅黑" w:hAnsi="微软雅黑" w:eastAsia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t>办理入学手续，提交以下资料：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t>1.身份证、学历证（或同等学历证明）复印件各一份</w:t>
                            </w:r>
                          </w:p>
                          <w:p>
                            <w:pPr>
                              <w:spacing w:line="340" w:lineRule="exact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t>2. 2寸彩色证件照2张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2.</w:t>
                            </w:r>
                            <w:r>
                              <w:rPr>
                                <w:rFonts w:ascii="宋体" w:hAnsi="宋体"/>
                                <w:szCs w:val="21"/>
                              </w:rPr>
                              <w:t>。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83" o:spid="_x0000_s1026" o:spt="2" style="position:absolute;left:0pt;margin-left:31.15pt;margin-top:1.95pt;height:63.6pt;width:282.4pt;z-index:251730944;mso-width-relative:page;mso-height-relative:page;" filled="f" stroked="t" coordsize="21600,21600" arcsize="0.166666666666667" o:gfxdata="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jY/og1gAAAAgBAAAPAAAA&#10;AAAAAAEAIAAAACIAAABkcnMvZG93bnJldi54bWxQSwECFAAUAAAACACHTuJA8uOAIVACAABTBAAA&#10;DgAAAAAAAAABACAAAAAlAQAAZHJzL2Uyb0RvYy54bWxQSwUGAAAAAAYABgBZAQAA5wUAAAAA&#10;">
                <v:fill on="f" focussize="0,0"/>
                <v:stroke weight="1.5pt" color="#C00000" joinstyle="round" dashstyle="1 1" endcap="round"/>
                <v:imagedata o:title=""/>
                <o:lock v:ext="edit" aspectratio="f"/>
                <v:textbox>
                  <w:txbxContent>
                    <w:p>
                      <w:pPr>
                        <w:spacing w:line="340" w:lineRule="exact"/>
                        <w:rPr>
                          <w:rFonts w:ascii="微软雅黑" w:hAnsi="微软雅黑" w:eastAsia="微软雅黑" w:cs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t>办理入学手续，提交以下资料：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t>1.身份证、学历证（或同等学历证明）复印件各一份</w:t>
                      </w:r>
                    </w:p>
                    <w:p>
                      <w:pPr>
                        <w:spacing w:line="340" w:lineRule="exact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t>2. 2寸彩色证件照2张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2.</w:t>
                      </w:r>
                      <w:r>
                        <w:rPr>
                          <w:rFonts w:ascii="宋体" w:hAnsi="宋体"/>
                          <w:szCs w:val="21"/>
                        </w:rPr>
                        <w:t>。</w:t>
                      </w:r>
                    </w:p>
                    <w:p/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rPr>
          <w:rFonts w:ascii="微软雅黑" w:hAnsi="微软雅黑" w:eastAsia="微软雅黑" w:cs="微软雅黑"/>
          <w:b/>
          <w:szCs w:val="21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szCs w:val="21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课程费用: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人民币22800元（包括培训、资料等费用），可汇款或刷卡。</w:t>
      </w:r>
    </w:p>
    <w:p>
      <w:pPr>
        <w:spacing w:line="400" w:lineRule="exact"/>
        <w:rPr>
          <w:rFonts w:ascii="宋体" w:hAnsi="宋体"/>
          <w:b/>
          <w:bCs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115570</wp:posOffset>
                </wp:positionV>
                <wp:extent cx="5436870" cy="1859915"/>
                <wp:effectExtent l="15875" t="15875" r="18415" b="29210"/>
                <wp:wrapNone/>
                <wp:docPr id="3" name="圆角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6870" cy="1859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cap="rnd">
                          <a:solidFill>
                            <a:schemeClr val="accent2"/>
                          </a:solidFill>
                          <a:prstDash val="sysDot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</w:rPr>
                              <w:t>交费须知：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  <w:t>1、个人账户缴费： 请通过人大培训网发布的培训项目缴费链接（中国人民大学校园统一支付平台）进行缴费。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  <w:t>2、单位账户缴费：通过银行汇款缴费。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  <w:t>收款单位：中国人民大学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  <w:t>收款帐号：0200 0076 0902 6400 244  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  <w:t>特别说明：汇款时“收款人（单位）”一栏均只填“中国人民大学”六字，在“用途/摘要”栏里填上“商学院国企班XXX(学员姓名)培训费”。汇款后请将银行汇款凭单提交至商学院EE项目办公室。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82" o:spid="_x0000_s1026" o:spt="2" style="position:absolute;left:0pt;margin-left:9pt;margin-top:9.1pt;height:146.45pt;width:428.1pt;z-index:251729920;mso-width-relative:page;mso-height-relative:page;" filled="f" stroked="t" coordsize="21600,21600" arcsize="0.166666666666667" o:gfxdata="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ecjPX2AAAAAkBAAAP&#10;AAAAAAAAAAEAIAAAACIAAABkcnMvZG93bnJldi54bWxQSwECFAAUAAAACACHTuJAObuwJlECAABU&#10;BAAADgAAAAAAAAABACAAAAAnAQAAZHJzL2Uyb0RvYy54bWxQSwUGAAAAAAYABgBZAQAA6gUAAAAA&#10;">
                <v:fill on="f" focussize="0,0"/>
                <v:stroke weight="2.5pt" color="#C0504D [3205]" joinstyle="round" dashstyle="1 1" endcap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</w:rPr>
                        <w:t>交费须知：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  <w:t>1、个人账户缴费： 请通过人大培训网发布的培训项目缴费链接（中国人民大学校园统一支付平台）进行缴费。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  <w:t>2、单位账户缴费：通过银行汇款缴费。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  <w:t>收款单位：中国人民大学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  <w:t>收款帐号：0200 0076 0902 6400 244  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  <w:t>特别说明：汇款时“收款人（单位）”一栏均只填“中国人民大学”六字，在“用途/摘要”栏里填上“商学院国企班XXX(学员姓名)培训费”。汇款后请将银行汇款凭单提交至商学院EE项目办公室。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rPr>
          <w:rFonts w:ascii="宋体" w:hAnsi="宋体"/>
          <w:b/>
          <w:bCs/>
          <w:szCs w:val="21"/>
        </w:rPr>
      </w:pPr>
    </w:p>
    <w:p>
      <w:pPr>
        <w:spacing w:line="400" w:lineRule="exact"/>
        <w:rPr>
          <w:rFonts w:ascii="宋体" w:hAnsi="宋体"/>
          <w:b/>
          <w:bCs/>
          <w:szCs w:val="21"/>
        </w:rPr>
      </w:pPr>
    </w:p>
    <w:p>
      <w:pPr>
        <w:spacing w:line="400" w:lineRule="exact"/>
        <w:rPr>
          <w:rFonts w:ascii="宋体" w:hAnsi="宋体"/>
          <w:b/>
          <w:bCs/>
          <w:szCs w:val="21"/>
        </w:rPr>
      </w:pPr>
    </w:p>
    <w:p>
      <w:pPr>
        <w:spacing w:line="400" w:lineRule="exact"/>
        <w:rPr>
          <w:rFonts w:ascii="宋体" w:hAnsi="宋体"/>
          <w:b/>
          <w:bCs/>
          <w:szCs w:val="21"/>
        </w:rPr>
      </w:pPr>
    </w:p>
    <w:p>
      <w:pPr>
        <w:spacing w:line="400" w:lineRule="exact"/>
        <w:rPr>
          <w:rFonts w:ascii="黑体" w:hAnsi="宋体" w:eastAsia="黑体"/>
          <w:b/>
          <w:bCs/>
          <w:color w:val="C00000"/>
          <w:sz w:val="24"/>
        </w:rPr>
      </w:pPr>
    </w:p>
    <w:p>
      <w:pPr>
        <w:spacing w:line="400" w:lineRule="exact"/>
        <w:rPr>
          <w:rFonts w:ascii="黑体" w:hAnsi="宋体" w:eastAsia="黑体"/>
          <w:b/>
          <w:bCs/>
          <w:color w:val="C00000"/>
          <w:sz w:val="24"/>
        </w:rPr>
      </w:pPr>
    </w:p>
    <w:p>
      <w:pPr>
        <w:spacing w:line="400" w:lineRule="exact"/>
        <w:rPr>
          <w:rFonts w:ascii="黑体" w:hAnsi="宋体" w:eastAsia="黑体"/>
          <w:b/>
          <w:bCs/>
          <w:color w:val="C00000"/>
          <w:sz w:val="24"/>
        </w:rPr>
      </w:pPr>
    </w:p>
    <w:p>
      <w:pPr>
        <w:spacing w:line="600" w:lineRule="exact"/>
        <w:jc w:val="left"/>
        <w:rPr>
          <w:rFonts w:ascii="微软雅黑" w:hAnsi="微软雅黑" w:eastAsia="微软雅黑" w:cs="Times New Roman"/>
          <w:b/>
          <w:color w:val="C0504D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</w:p>
    <w:p>
      <w:pPr>
        <w:spacing w:line="600" w:lineRule="exact"/>
        <w:jc w:val="left"/>
        <w:rPr>
          <w:rFonts w:ascii="微软雅黑" w:hAnsi="微软雅黑" w:eastAsia="微软雅黑" w:cs="Times New Roman"/>
          <w:b/>
          <w:color w:val="C0504D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</w:p>
    <w:p>
      <w:pPr>
        <w:spacing w:line="600" w:lineRule="exact"/>
        <w:jc w:val="left"/>
        <w:rPr>
          <w:rFonts w:ascii="微软雅黑" w:hAnsi="微软雅黑" w:eastAsia="微软雅黑" w:cs="Times New Roman"/>
          <w:b/>
          <w:color w:val="C0504D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</w:p>
    <w:p>
      <w:pPr>
        <w:spacing w:line="600" w:lineRule="exact"/>
        <w:jc w:val="left"/>
        <w:rPr>
          <w:rFonts w:ascii="微软雅黑" w:hAnsi="微软雅黑" w:eastAsia="微软雅黑" w:cs="Times New Roman"/>
          <w:b/>
          <w:color w:val="C0504D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</w:p>
    <w:p>
      <w:pPr>
        <w:spacing w:line="600" w:lineRule="exact"/>
        <w:jc w:val="left"/>
        <w:rPr>
          <w:rFonts w:ascii="微软雅黑" w:hAnsi="微软雅黑" w:eastAsia="微软雅黑" w:cs="Times New Roman"/>
          <w:b/>
          <w:color w:val="C0504D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</w:p>
    <w:p>
      <w:pPr>
        <w:spacing w:line="600" w:lineRule="exact"/>
        <w:jc w:val="left"/>
        <w:rPr>
          <w:rFonts w:ascii="微软雅黑" w:hAnsi="微软雅黑" w:eastAsia="微软雅黑" w:cs="Times New Roman"/>
          <w:b/>
          <w:color w:val="C0504D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</w:p>
    <w:p>
      <w:pPr>
        <w:spacing w:line="600" w:lineRule="exact"/>
        <w:jc w:val="left"/>
        <w:rPr>
          <w:rFonts w:ascii="微软雅黑" w:hAnsi="微软雅黑" w:eastAsia="微软雅黑" w:cs="Times New Roman"/>
          <w:b/>
          <w:color w:val="C0504D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Times New Roman"/>
          <w:b/>
          <w:color w:val="C0504D" w:themeColor="accent2"/>
          <w:sz w:val="28"/>
          <w:szCs w:val="28"/>
          <w14:textFill>
            <w14:solidFill>
              <w14:schemeClr w14:val="accent2"/>
            </w14:solidFill>
          </w14:textFill>
        </w:rPr>
        <w:t>部分师资简介</w:t>
      </w:r>
    </w:p>
    <w:p>
      <w:pPr>
        <w:pStyle w:val="17"/>
        <w:spacing w:line="400" w:lineRule="exact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5715</wp:posOffset>
            </wp:positionV>
            <wp:extent cx="904875" cy="1287145"/>
            <wp:effectExtent l="0" t="0" r="9525" b="8255"/>
            <wp:wrapSquare wrapText="bothSides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刘元春</w:t>
      </w:r>
      <w:bookmarkStart w:id="0" w:name="_Hlk496535792"/>
      <w:r>
        <w:rPr>
          <w:rFonts w:hint="eastAsia" w:ascii="微软雅黑" w:hAnsi="微软雅黑" w:eastAsia="微软雅黑" w:cs="微软雅黑"/>
          <w:b/>
          <w:sz w:val="21"/>
          <w:szCs w:val="21"/>
        </w:rPr>
        <w:t xml:space="preserve">  </w:t>
      </w:r>
      <w:r>
        <w:rPr>
          <w:rFonts w:hint="eastAsia" w:ascii="微软雅黑" w:hAnsi="微软雅黑" w:eastAsia="微软雅黑" w:cs="微软雅黑"/>
          <w:sz w:val="21"/>
          <w:szCs w:val="21"/>
        </w:rPr>
        <w:t>中国人民大学副校长，经济学院教授、博士生导师，国家高端智库中国人民大学国家发展与战略研究院执行院长、中国人民大学经济研究所常务副所长。“长江学者”特聘教授、国务院特聘专家、国家新世纪人才，世界经济协会常务理事、国际金融协会理事，主要从事“开放宏观经济学”和“世界经济”研究。</w:t>
      </w:r>
      <w:bookmarkEnd w:id="0"/>
    </w:p>
    <w:p>
      <w:pPr>
        <w:pStyle w:val="17"/>
        <w:spacing w:line="400" w:lineRule="exact"/>
        <w:rPr>
          <w:rFonts w:ascii="微软雅黑" w:hAnsi="微软雅黑" w:eastAsia="微软雅黑" w:cs="微软雅黑"/>
          <w:sz w:val="21"/>
          <w:szCs w:val="21"/>
        </w:rPr>
      </w:pPr>
    </w:p>
    <w:p>
      <w:pPr>
        <w:pStyle w:val="17"/>
        <w:spacing w:line="400" w:lineRule="exact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15240</wp:posOffset>
            </wp:positionV>
            <wp:extent cx="904875" cy="1260475"/>
            <wp:effectExtent l="0" t="0" r="9525" b="0"/>
            <wp:wrapSquare wrapText="bothSides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 xml:space="preserve">黄卫平  </w:t>
      </w:r>
      <w:r>
        <w:rPr>
          <w:rFonts w:hint="eastAsia" w:ascii="微软雅黑" w:hAnsi="微软雅黑" w:eastAsia="微软雅黑" w:cs="微软雅黑"/>
          <w:sz w:val="21"/>
          <w:szCs w:val="21"/>
        </w:rPr>
        <w:t>中国人民大学经济学院教授、博士生导师，中央政治局集体学习授课教师。原中国人民大学经济学院院长，中国人民大学校务委员，学术委员会委员，教育部普通高校本科教学评估委员会委员，中国社会科学院高评委员会（国际片）成员，中国社科院美国所学术委员会委员、欧盟经济研究会常务理事。研究方向：国际经济与商务、经济发展。</w:t>
      </w:r>
    </w:p>
    <w:p>
      <w:pPr>
        <w:pStyle w:val="17"/>
        <w:spacing w:line="400" w:lineRule="exact"/>
        <w:rPr>
          <w:rFonts w:ascii="微软雅黑" w:hAnsi="微软雅黑" w:eastAsia="微软雅黑" w:cs="微软雅黑"/>
          <w:sz w:val="21"/>
          <w:szCs w:val="21"/>
        </w:rPr>
      </w:pPr>
    </w:p>
    <w:p>
      <w:pPr>
        <w:pStyle w:val="17"/>
        <w:spacing w:line="400" w:lineRule="exact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933450" cy="1276350"/>
            <wp:effectExtent l="0" t="0" r="0" b="0"/>
            <wp:wrapSquare wrapText="bothSides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 xml:space="preserve">刘  刚  </w:t>
      </w:r>
      <w:r>
        <w:rPr>
          <w:rFonts w:hint="eastAsia" w:ascii="微软雅黑" w:hAnsi="微软雅黑" w:eastAsia="微软雅黑" w:cs="微软雅黑"/>
          <w:sz w:val="21"/>
          <w:szCs w:val="21"/>
        </w:rPr>
        <w:t>中国人民大学商学院教授，企业管理系主任。中国企业管理研究会常务副理事长，中国社会科学院企业社会责任研究中心副理事长，北京现代企业研究会副理事长，主持国家及省部级课题6项，主持中国兵器工业集团、北京燃气集团、西北电网公司等企事业单位委托课题近20项。研究方向：传统管理思想、战略管理、领导力、管理学原理 。</w:t>
      </w:r>
    </w:p>
    <w:p>
      <w:pPr>
        <w:pStyle w:val="17"/>
        <w:spacing w:line="400" w:lineRule="exact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257810</wp:posOffset>
            </wp:positionV>
            <wp:extent cx="918845" cy="1238885"/>
            <wp:effectExtent l="0" t="0" r="0" b="0"/>
            <wp:wrapSquare wrapText="bothSides"/>
            <wp:docPr id="65" name="图片 65" descr="宋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宋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7"/>
        <w:spacing w:line="400" w:lineRule="exact"/>
        <w:ind w:left="1701" w:leftChars="81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 xml:space="preserve">宋  华  </w:t>
      </w:r>
      <w:r>
        <w:rPr>
          <w:rFonts w:hint="eastAsia" w:ascii="微软雅黑" w:hAnsi="微软雅黑" w:eastAsia="微软雅黑" w:cs="微软雅黑"/>
          <w:sz w:val="21"/>
          <w:szCs w:val="21"/>
        </w:rPr>
        <w:t>中国人民大学商学院副院长、教授、博士生导师。安泰科技、海虹控股、特变电工等企业管理顾问。中国物流学会理事、南开大学现代物流研究中心兼职研究员、商务部市场调控专家库专家。曾获中国市场学会、中国人民大学优秀论文奖。研究方向：战略管理、供应链物流管理。</w:t>
      </w:r>
    </w:p>
    <w:p>
      <w:pPr>
        <w:pStyle w:val="17"/>
        <w:spacing w:line="400" w:lineRule="exact"/>
        <w:rPr>
          <w:rFonts w:ascii="微软雅黑" w:hAnsi="微软雅黑" w:eastAsia="微软雅黑" w:cs="微软雅黑"/>
          <w:sz w:val="21"/>
          <w:szCs w:val="21"/>
        </w:rPr>
      </w:pPr>
    </w:p>
    <w:p>
      <w:pPr>
        <w:pStyle w:val="17"/>
        <w:spacing w:line="400" w:lineRule="exact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38100</wp:posOffset>
            </wp:positionV>
            <wp:extent cx="941705" cy="1192530"/>
            <wp:effectExtent l="0" t="0" r="0" b="7620"/>
            <wp:wrapSquare wrapText="bothSides"/>
            <wp:docPr id="64" name="图片 64" descr="C:\Users\user\AppData\Roaming\Tencent\Users\408092181\QQ\WinTemp\RichOle\HJT_2JD$SR4)6X8H4KBXF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user\AppData\Roaming\Tencent\Users\408092181\QQ\WinTemp\RichOle\HJT_2JD$SR4)6X8H4KBXFK7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 xml:space="preserve">刘  昕  </w:t>
      </w:r>
      <w:r>
        <w:rPr>
          <w:rFonts w:hint="eastAsia" w:ascii="微软雅黑" w:hAnsi="微软雅黑" w:eastAsia="微软雅黑" w:cs="微软雅黑"/>
          <w:sz w:val="21"/>
          <w:szCs w:val="21"/>
        </w:rPr>
        <w:t>中国人民大学公共管理学院组织与人力资源研究所教授、院长助理，国内著名人力资源管理研究与咨询专家，人力资源和社会保障部特聘专家。主持完成50多家大中型国有、民营、合资企业以及事业单位、政府机构的人力资源管理培训和咨询工作。研究方向：战略性人力资源管理、薪酬管理、人力资源管理经济学。</w:t>
      </w:r>
    </w:p>
    <w:p>
      <w:pPr>
        <w:pStyle w:val="17"/>
        <w:spacing w:line="400" w:lineRule="exact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106045</wp:posOffset>
            </wp:positionV>
            <wp:extent cx="955040" cy="1259205"/>
            <wp:effectExtent l="0" t="0" r="0" b="0"/>
            <wp:wrapSquare wrapText="bothSides"/>
            <wp:docPr id="60" name="图片 60" descr="C:\Users\rbs\AppData\Roaming\Tencent\Users\408092181\QQ\WinTemp\RichOle\X3QU(Z$E18%MMJ}5BZ$LE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rbs\AppData\Roaming\Tencent\Users\408092181\QQ\WinTemp\RichOle\X3QU(Z$E18%MMJ}5BZ$LEIA.pn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 xml:space="preserve">唐  鑛  </w:t>
      </w:r>
      <w:r>
        <w:rPr>
          <w:rFonts w:hint="eastAsia" w:ascii="微软雅黑" w:hAnsi="微软雅黑" w:eastAsia="微软雅黑" w:cs="微软雅黑"/>
          <w:sz w:val="21"/>
          <w:szCs w:val="21"/>
        </w:rPr>
        <w:t>中国人民大学劳动人事学院党委书记兼副院长，教授，博士生导师。曾任北京美星食品有限公司总经理，北京高唐新文化发展有限公司总经理，北京亚太央行金融研究中心主任，两度赴德国Osnabrueck大学作人力资源管理的专题研究。主讲课程：人力资源管理、绩效管理、管理沟通、人力资源管理：人性、心理和文化、员工关系。</w:t>
      </w:r>
    </w:p>
    <w:p>
      <w:pPr>
        <w:pStyle w:val="17"/>
        <w:spacing w:line="400" w:lineRule="exact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951865" cy="1316355"/>
            <wp:effectExtent l="0" t="0" r="635" b="0"/>
            <wp:wrapSquare wrapText="bothSides"/>
            <wp:docPr id="55" name="图片 55" descr="孙茂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孙茂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7"/>
        <w:spacing w:line="400" w:lineRule="exact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 xml:space="preserve">孙茂竹  </w:t>
      </w:r>
      <w:r>
        <w:rPr>
          <w:rFonts w:hint="eastAsia" w:ascii="微软雅黑" w:hAnsi="微软雅黑" w:eastAsia="微软雅黑" w:cs="微软雅黑"/>
          <w:sz w:val="21"/>
          <w:szCs w:val="21"/>
        </w:rPr>
        <w:t>中国人民大学商学院教授、博士生导师，新世纪基金管理公司独立董事，哈工大首创科技股份有限公司独立董事，新时代证券有限责任公司独立董事，全国高校财务理论研究会理事。研究方向：财务管理、成本管理、管理会计、财务会计。</w:t>
      </w:r>
    </w:p>
    <w:p>
      <w:pPr>
        <w:pStyle w:val="17"/>
        <w:spacing w:line="400" w:lineRule="exact"/>
        <w:rPr>
          <w:rFonts w:ascii="微软雅黑" w:hAnsi="微软雅黑" w:eastAsia="微软雅黑" w:cs="微软雅黑"/>
          <w:sz w:val="21"/>
          <w:szCs w:val="21"/>
        </w:rPr>
      </w:pPr>
    </w:p>
    <w:p>
      <w:pPr>
        <w:pStyle w:val="17"/>
        <w:spacing w:line="400" w:lineRule="exact"/>
        <w:rPr>
          <w:rFonts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92075</wp:posOffset>
            </wp:positionV>
            <wp:extent cx="933450" cy="1222375"/>
            <wp:effectExtent l="0" t="0" r="0" b="0"/>
            <wp:wrapSquare wrapText="bothSides"/>
            <wp:docPr id="49" name="图片 49" descr="刘东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刘东明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7"/>
        <w:spacing w:line="400" w:lineRule="exact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 xml:space="preserve">刘东明  </w:t>
      </w:r>
      <w:r>
        <w:rPr>
          <w:rFonts w:hint="eastAsia" w:ascii="微软雅黑" w:hAnsi="微软雅黑" w:eastAsia="微软雅黑" w:cs="微软雅黑"/>
          <w:sz w:val="21"/>
          <w:szCs w:val="21"/>
        </w:rPr>
        <w:t>中国人民大学商学院副教授，曾担任重庆普金软件股份有限公司财务总监、重庆普金广告传媒有限公司董事长，曾为嘉陵集团、普金软件、九方公司等作过咨询项目及财务顾问。研究方向：会计学、财务管理、管理会计、公司理财。</w:t>
      </w:r>
    </w:p>
    <w:p>
      <w:pPr>
        <w:pStyle w:val="17"/>
        <w:spacing w:line="400" w:lineRule="exact"/>
        <w:rPr>
          <w:rFonts w:ascii="微软雅黑" w:hAnsi="微软雅黑" w:eastAsia="微软雅黑" w:cs="微软雅黑"/>
          <w:sz w:val="21"/>
          <w:szCs w:val="21"/>
        </w:rPr>
      </w:pPr>
    </w:p>
    <w:p>
      <w:pPr>
        <w:pStyle w:val="17"/>
        <w:spacing w:line="400" w:lineRule="exact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62865</wp:posOffset>
            </wp:positionV>
            <wp:extent cx="929640" cy="1114425"/>
            <wp:effectExtent l="19050" t="0" r="3810" b="0"/>
            <wp:wrapSquare wrapText="bothSides"/>
            <wp:docPr id="35" name="图片 35" descr="C:\Users\user\AppData\Roaming\Tencent\Users\408092181\QQ\WinTemp\RichOle\}JCD)V)F4YY{K1N%U$E{[`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user\AppData\Roaming\Tencent\Users\408092181\QQ\WinTemp\RichOle\}JCD)V)F4YY{K1N%U$E{[`P.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 xml:space="preserve">潘朝金  </w:t>
      </w:r>
      <w:r>
        <w:rPr>
          <w:rFonts w:hint="eastAsia" w:ascii="微软雅黑" w:hAnsi="微软雅黑" w:eastAsia="微软雅黑" w:cs="微软雅黑"/>
          <w:sz w:val="21"/>
          <w:szCs w:val="21"/>
        </w:rPr>
        <w:t>中美嘉伦国际咨询（北京）有限公司 总裁、中国企业联合会客座教授、中国人民大学企业改制研究所特聘研究员、北京大成律师事务所高级顾问。长期从事资本运营、融资并购、管理咨询、企业改制等工作，曾参与国务院国资委组织的有关国有企业改制、转型等多个项目的研究，并亲自主持上百例融资并购、重组改制、战略咨询案例。</w:t>
      </w:r>
    </w:p>
    <w:p>
      <w:pPr>
        <w:pStyle w:val="17"/>
        <w:spacing w:line="400" w:lineRule="exact"/>
        <w:rPr>
          <w:rFonts w:ascii="微软雅黑" w:hAnsi="微软雅黑" w:eastAsia="微软雅黑" w:cs="微软雅黑"/>
          <w:sz w:val="21"/>
          <w:szCs w:val="21"/>
        </w:rPr>
      </w:pPr>
    </w:p>
    <w:p>
      <w:pPr>
        <w:pStyle w:val="17"/>
        <w:spacing w:line="400" w:lineRule="exact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5715</wp:posOffset>
            </wp:positionV>
            <wp:extent cx="971550" cy="1238250"/>
            <wp:effectExtent l="19050" t="0" r="0" b="0"/>
            <wp:wrapSquare wrapText="bothSides"/>
            <wp:docPr id="34" name="图片 34" descr="袁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袁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 xml:space="preserve">袁立  </w:t>
      </w:r>
      <w:r>
        <w:rPr>
          <w:rFonts w:hint="eastAsia" w:ascii="微软雅黑" w:hAnsi="微软雅黑" w:eastAsia="微软雅黑" w:cs="微软雅黑"/>
          <w:sz w:val="21"/>
          <w:szCs w:val="21"/>
        </w:rPr>
        <w:t>资深投资银行家、管理专家，现任教于北京化工大学，同时是多所学校高级经理工商管理硕士（EMBA）、工商管理硕士（MBA)和高层管理教育(EDP)的课程教授，北京弘创天润投资管理有限公司董事。主要研究方向：公司并购与重组、公司金融。其理论研究侧重于商业实践的现实问题。</w:t>
      </w:r>
    </w:p>
    <w:p>
      <w:pPr>
        <w:pStyle w:val="17"/>
        <w:spacing w:line="400" w:lineRule="exact"/>
        <w:rPr>
          <w:rFonts w:ascii="微软雅黑" w:hAnsi="微软雅黑" w:eastAsia="微软雅黑" w:cs="微软雅黑"/>
          <w:b/>
          <w:szCs w:val="21"/>
        </w:rPr>
      </w:pPr>
      <w: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175260</wp:posOffset>
            </wp:positionV>
            <wp:extent cx="934085" cy="1257300"/>
            <wp:effectExtent l="0" t="0" r="10795" b="7620"/>
            <wp:wrapSquare wrapText="bothSides"/>
            <wp:docPr id="543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0" name="图片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宋晓华</w:t>
      </w:r>
    </w:p>
    <w:p>
      <w:pPr>
        <w:spacing w:line="400" w:lineRule="exact"/>
        <w:rPr>
          <w:rFonts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华北电力大学经济与管理学院教授，中国上市公司市值管理理研究中心高级研究员。主要研究方向：资本市场、财务分析。为多家金融机构、国家央企、国企、上市公司服务。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 xml:space="preserve"> </w:t>
      </w:r>
    </w:p>
    <w:p>
      <w:pPr>
        <w:widowControl/>
        <w:spacing w:line="400" w:lineRule="exact"/>
        <w:jc w:val="left"/>
        <w:rPr>
          <w:rFonts w:ascii="微软雅黑" w:hAnsi="微软雅黑" w:eastAsia="微软雅黑" w:cs="微软雅黑"/>
          <w:bCs/>
          <w:szCs w:val="21"/>
        </w:rPr>
      </w:pPr>
    </w:p>
    <w:p>
      <w:pPr>
        <w:widowControl/>
        <w:spacing w:line="400" w:lineRule="exact"/>
        <w:jc w:val="left"/>
        <w:rPr>
          <w:rFonts w:ascii="微软雅黑" w:hAnsi="微软雅黑" w:eastAsia="微软雅黑" w:cs="微软雅黑"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14605</wp:posOffset>
            </wp:positionV>
            <wp:extent cx="969645" cy="1279525"/>
            <wp:effectExtent l="0" t="0" r="1905" b="0"/>
            <wp:wrapSquare wrapText="bothSides"/>
            <wp:docPr id="28" name="图片 28" descr="C:\Users\user\AppData\Roaming\Tencent\Users\408092181\QQ\WinTemp\RichOle\9`UD]Y~UO}7W49)CN8Z07Q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user\AppData\Roaming\Tencent\Users\408092181\QQ\WinTemp\RichOle\9`UD]Y~UO}7W49)CN8Z07Q1.pn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szCs w:val="21"/>
        </w:rPr>
        <w:t xml:space="preserve">王润秋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</w:rPr>
        <w:t>国务院国资委企业改革局原副局长、中国企业改革与发展研究会高级研究员。从国家经贸委到国资委，从事国企改革、重组、管理、发展研究指导二十余年。曾在地方大型国企从事一线经营管理工作，国资委成立后从事央企重组具体操作和央企做强做优、培育具有国际竞争力的世界一流企业的研究指导工作。</w:t>
      </w:r>
    </w:p>
    <w:p>
      <w:pPr>
        <w:widowControl/>
        <w:spacing w:line="400" w:lineRule="exact"/>
        <w:jc w:val="left"/>
        <w:rPr>
          <w:rFonts w:ascii="微软雅黑" w:hAnsi="微软雅黑" w:eastAsia="微软雅黑" w:cs="微软雅黑"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-48895</wp:posOffset>
            </wp:positionV>
            <wp:extent cx="949325" cy="1254125"/>
            <wp:effectExtent l="19050" t="0" r="3175" b="0"/>
            <wp:wrapSquare wrapText="bothSides"/>
            <wp:docPr id="23" name="图片 23" descr="C:\Users\rbs\AppData\Roaming\Tencent\Users\408092181\QQ\WinTemp\RichOle\I8A@A~7T4]FP)6@]C$9)L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rbs\AppData\Roaming\Tencent\Users\408092181\QQ\WinTemp\RichOle\I8A@A~7T4]FP)6@]C$9)L_B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000000"/>
          <w:kern w:val="0"/>
          <w:szCs w:val="21"/>
        </w:rPr>
        <w:t xml:space="preserve">祁凡骅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</w:rPr>
        <w:t>中国人民大学公共管理学院教授，行政管理学系副主任，为中组部干部培训中心、中共中央党校等多家中央部委机关、地方政府讲授领导力课程；为中信集团、华风集团、齐鲁石化等多家大型企业讲授领导力课程或提供管理咨询。主持和参与国家社会科学基金研究课题、国家985社会科学重大研究课题等。研究方向：领导力、绩效管理、政策分析。</w:t>
      </w:r>
    </w:p>
    <w:p>
      <w:pPr>
        <w:widowControl/>
        <w:spacing w:line="400" w:lineRule="exact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Cs w:val="21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969645" cy="1302385"/>
            <wp:effectExtent l="0" t="0" r="1905" b="0"/>
            <wp:wrapSquare wrapText="bothSides"/>
            <wp:docPr id="20" name="图片 20" descr="C:\Users\rbs\AppData\Roaming\Tencent\Users\408092181\QQ\WinTemp\RichOle\V(2}{0HPES]]1$T]0VWE4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rbs\AppData\Roaming\Tencent\Users\408092181\QQ\WinTemp\RichOle\V(2}{0HPES]]1$T]0VWE4K6.pn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000000"/>
          <w:kern w:val="0"/>
          <w:szCs w:val="21"/>
        </w:rPr>
        <w:t xml:space="preserve">王向明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</w:rPr>
        <w:t>中国人民大学马克思主义学院教授，中国人民大学中国特色社会主义理论体系研究中心专职研究员，中国人民大学党校特聘教师。兼任全国马克思主义理论研究与建设工程课题组主要成员，团中央“全国大学生骨干培训学校”导师。</w:t>
      </w:r>
      <w:r>
        <w:rPr>
          <w:rFonts w:hint="eastAsia" w:ascii="微软雅黑" w:hAnsi="微软雅黑" w:eastAsia="微软雅黑" w:cs="微软雅黑"/>
          <w:szCs w:val="21"/>
        </w:rPr>
        <w:t>研究领域：</w:t>
      </w:r>
      <w:r>
        <w:rPr>
          <w:rFonts w:hint="eastAsia" w:ascii="微软雅黑" w:hAnsi="微软雅黑" w:eastAsia="微软雅黑" w:cs="微软雅黑"/>
          <w:color w:val="333333"/>
          <w:szCs w:val="21"/>
          <w:shd w:val="clear" w:color="auto" w:fill="FFFFFF"/>
        </w:rPr>
        <w:t>马克思主义中国化问题研究，中国传统文化、时政及社会热点问题研究等。</w:t>
      </w:r>
    </w:p>
    <w:p>
      <w:pPr>
        <w:spacing w:before="312" w:beforeLines="100" w:line="460" w:lineRule="exact"/>
        <w:rPr>
          <w:rFonts w:ascii="微软雅黑" w:hAnsi="微软雅黑" w:eastAsia="微软雅黑" w:cs="微软雅黑"/>
          <w:color w:val="000000"/>
          <w:kern w:val="0"/>
          <w:szCs w:val="21"/>
        </w:rPr>
      </w:pPr>
      <w:r>
        <w:rPr>
          <w:rFonts w:ascii="微软雅黑" w:hAnsi="微软雅黑" w:eastAsia="微软雅黑" w:cs="Times New Roman"/>
          <w:b/>
          <w:szCs w:val="21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7620</wp:posOffset>
            </wp:positionH>
            <wp:positionV relativeFrom="paragraph">
              <wp:posOffset>195580</wp:posOffset>
            </wp:positionV>
            <wp:extent cx="953770" cy="1259840"/>
            <wp:effectExtent l="0" t="0" r="0" b="0"/>
            <wp:wrapSquare wrapText="bothSides"/>
            <wp:docPr id="5" name="图片 5" descr="C:\Users\user\AppData\Roaming\Tencent\Users\408092181\QQ\WinTemp\RichOle\(~9O)13IG{(KVW4ZOWEG6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user\AppData\Roaming\Tencent\Users\408092181\QQ\WinTemp\RichOle\(~9O)13IG{(KVW4ZOWEG6OO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Times New Roman"/>
          <w:b/>
          <w:szCs w:val="21"/>
        </w:rPr>
        <w:t>吕景胜　</w:t>
      </w:r>
      <w:r>
        <w:rPr>
          <w:rFonts w:ascii="微软雅黑" w:hAnsi="微软雅黑" w:eastAsia="微软雅黑" w:cs="微软雅黑"/>
          <w:color w:val="000000"/>
          <w:kern w:val="0"/>
          <w:szCs w:val="21"/>
        </w:rPr>
        <w:t>中国人民大学商学院教授、博士生导师。曾为燕化集团、美的集团、齐鲁石化集团、TCL集团等50多家大型企业及政府授课并提供法律咨询。著有《经济法实务》、《经济法MBA教授案例》等。</w:t>
      </w:r>
    </w:p>
    <w:p>
      <w:pPr>
        <w:spacing w:line="460" w:lineRule="exact"/>
        <w:rPr>
          <w:rFonts w:ascii="微软雅黑" w:hAnsi="微软雅黑" w:eastAsia="微软雅黑" w:cs="微软雅黑"/>
          <w:color w:val="000000"/>
          <w:kern w:val="0"/>
          <w:szCs w:val="21"/>
        </w:rPr>
      </w:pPr>
      <w:r>
        <w:rPr>
          <w:rFonts w:ascii="微软雅黑" w:hAnsi="微软雅黑" w:eastAsia="微软雅黑" w:cs="微软雅黑"/>
          <w:color w:val="000000"/>
          <w:kern w:val="0"/>
          <w:szCs w:val="21"/>
        </w:rPr>
        <w:t>研究方向：企业法律政策环境与企业法律实务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</w:rPr>
        <w:t>、公司治理</w:t>
      </w:r>
    </w:p>
    <w:p>
      <w:pPr>
        <w:spacing w:line="460" w:lineRule="exact"/>
        <w:rPr>
          <w:rFonts w:ascii="微软雅黑" w:hAnsi="微软雅黑" w:eastAsia="微软雅黑" w:cs="微软雅黑"/>
          <w:color w:val="000000"/>
          <w:kern w:val="0"/>
          <w:szCs w:val="21"/>
        </w:rPr>
      </w:pPr>
    </w:p>
    <w:p>
      <w:pPr>
        <w:spacing w:line="460" w:lineRule="exact"/>
        <w:rPr>
          <w:rFonts w:ascii="微软雅黑" w:hAnsi="微软雅黑" w:eastAsia="微软雅黑" w:cs="微软雅黑"/>
          <w:color w:val="000000"/>
          <w:kern w:val="0"/>
          <w:szCs w:val="21"/>
        </w:rPr>
      </w:pPr>
      <w: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7620</wp:posOffset>
            </wp:positionH>
            <wp:positionV relativeFrom="paragraph">
              <wp:posOffset>10160</wp:posOffset>
            </wp:positionV>
            <wp:extent cx="975360" cy="1315085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000000"/>
          <w:kern w:val="0"/>
          <w:szCs w:val="21"/>
        </w:rPr>
        <w:t>刘斌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</w:rPr>
        <w:t xml:space="preserve"> </w:t>
      </w:r>
      <w:r>
        <w:rPr>
          <w:rFonts w:ascii="微软雅黑" w:hAnsi="微软雅黑" w:eastAsia="微软雅黑" w:cs="微软雅黑"/>
          <w:color w:val="000000"/>
          <w:kern w:val="0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</w:rPr>
        <w:t>中国人民大学商学院企业管理博士，商学院产业经济学博士后。知本咨询董事长，同时兼任中国机械工业企业管理协会战略委员会主任，担任多家大型央企和中国500强公司的独立董事，为中海油总公司、华能集团、中纺集团、北京国资委等大型集团和500强公司开展服务，拥有丰富的国资国企改革实战经验。</w:t>
      </w:r>
    </w:p>
    <w:p>
      <w:pPr>
        <w:spacing w:line="600" w:lineRule="exact"/>
        <w:jc w:val="left"/>
        <w:rPr>
          <w:rFonts w:ascii="微软雅黑" w:hAnsi="微软雅黑" w:eastAsia="微软雅黑" w:cs="Times New Roman"/>
          <w:b/>
          <w:color w:val="C0504D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Times New Roman"/>
          <w:b/>
          <w:color w:val="C0504D" w:themeColor="accent2"/>
          <w:sz w:val="28"/>
          <w:szCs w:val="28"/>
          <w14:textFill>
            <w14:solidFill>
              <w14:schemeClr w14:val="accent2"/>
            </w14:solidFill>
          </w14:textFill>
        </w:rPr>
        <w:t>部分参加企业</w:t>
      </w:r>
    </w:p>
    <w:p>
      <w:pPr>
        <w:pStyle w:val="17"/>
        <w:spacing w:line="400" w:lineRule="exact"/>
        <w:rPr>
          <w:rFonts w:ascii="宋体" w:hAnsi="宋体" w:eastAsia="宋体" w:cs="宋体"/>
          <w:sz w:val="21"/>
          <w:szCs w:val="21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58420</wp:posOffset>
            </wp:positionV>
            <wp:extent cx="5271770" cy="1997075"/>
            <wp:effectExtent l="0" t="0" r="1270" b="1460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                                     </w:t>
      </w: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17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黑体" w:eastAsia="黑体"/>
          <w:b/>
          <w:sz w:val="24"/>
        </w:rPr>
      </w:pPr>
      <w:r>
        <w:rPr>
          <w:rFonts w:hint="eastAsia" w:ascii="黑体" w:eastAsia="黑体"/>
          <w:b/>
          <w:sz w:val="24"/>
        </w:rPr>
        <w:t>学员登记表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single" w:color="auto" w:sz="4" w:space="0"/>
          <w:bottom w:val="none" w:color="auto" w:sz="0" w:space="0"/>
          <w:right w:val="none" w:color="auto" w:sz="0" w:space="0"/>
          <w:insideH w:val="single" w:color="FFFFFF" w:sz="18" w:space="0"/>
          <w:insideV w:val="single" w:color="FFFFFF" w:sz="18" w:space="0"/>
        </w:tblBorders>
        <w:shd w:val="solid" w:color="7A5FA7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628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shd w:val="solid" w:color="7A5FA7" w:fill="FFFFFF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color w:val="FFFFFF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FFFFFF"/>
                <w:szCs w:val="21"/>
              </w:rPr>
              <w:t>申请课程：</w:t>
            </w:r>
          </w:p>
        </w:tc>
        <w:tc>
          <w:tcPr>
            <w:tcW w:w="6287" w:type="dxa"/>
            <w:shd w:val="solid" w:color="7A5FA7" w:fill="FFFFFF"/>
            <w:noWrap w:val="0"/>
            <w:vAlign w:val="top"/>
          </w:tcPr>
          <w:p>
            <w:pPr>
              <w:jc w:val="left"/>
              <w:rPr>
                <w:rFonts w:hint="eastAsia" w:ascii="黑体" w:eastAsia="黑体"/>
                <w:b/>
                <w:bCs/>
                <w:sz w:val="24"/>
              </w:rPr>
            </w:pPr>
          </w:p>
        </w:tc>
      </w:tr>
    </w:tbl>
    <w:p>
      <w:pPr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请认真回答以下所有问题，该申请表必须由申请人填写完整并签名确认，本表为保密文件，仅供招生委员会审核使用。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FFFFFF" w:sz="18" w:space="0"/>
          <w:insideV w:val="single" w:color="FFFFFF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708"/>
        <w:gridCol w:w="284"/>
        <w:gridCol w:w="2693"/>
        <w:gridCol w:w="142"/>
        <w:gridCol w:w="283"/>
        <w:gridCol w:w="709"/>
        <w:gridCol w:w="709"/>
        <w:gridCol w:w="283"/>
        <w:gridCol w:w="161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22" w:type="dxa"/>
            <w:gridSpan w:val="10"/>
            <w:tcBorders>
              <w:top w:val="nil"/>
              <w:bottom w:val="single" w:color="FFFFFF" w:sz="18" w:space="0"/>
            </w:tcBorders>
            <w:shd w:val="solid" w:color="7A5FA7" w:fill="FFFFFF"/>
            <w:noWrap w:val="0"/>
            <w:vAlign w:val="top"/>
          </w:tcPr>
          <w:p>
            <w:pPr>
              <w:jc w:val="center"/>
              <w:rPr>
                <w:rFonts w:hint="eastAsia"/>
                <w:b/>
                <w:bCs/>
                <w:color w:val="FFFFFF"/>
              </w:rPr>
            </w:pPr>
            <w:r>
              <w:rPr>
                <w:rFonts w:hint="eastAsia"/>
                <w:b/>
                <w:bCs/>
                <w:color w:val="FFFFFF"/>
              </w:rPr>
              <w:t>基本资料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01" w:type="dxa"/>
            <w:tcBorders>
              <w:top w:val="single" w:color="FFFFFF" w:sz="18" w:space="0"/>
            </w:tcBorders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    名</w:t>
            </w:r>
          </w:p>
        </w:tc>
        <w:tc>
          <w:tcPr>
            <w:tcW w:w="4110" w:type="dxa"/>
            <w:gridSpan w:val="5"/>
            <w:tcBorders>
              <w:top w:val="single" w:color="FFFFFF" w:sz="18" w:space="0"/>
            </w:tcBorders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418" w:type="dxa"/>
            <w:gridSpan w:val="2"/>
            <w:tcBorders>
              <w:top w:val="single" w:color="FFFFFF" w:sz="18" w:space="0"/>
            </w:tcBorders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性    别</w:t>
            </w:r>
          </w:p>
        </w:tc>
        <w:tc>
          <w:tcPr>
            <w:tcW w:w="1893" w:type="dxa"/>
            <w:gridSpan w:val="2"/>
            <w:tcBorders>
              <w:top w:val="single" w:color="FFFFFF" w:sz="18" w:space="0"/>
            </w:tcBorders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</w:rPr>
            </w:pPr>
            <w:r>
              <w:rPr>
                <w:kern w:val="0"/>
                <w:szCs w:val="21"/>
              </w:rPr>
              <w:t>􀂅</w:t>
            </w:r>
            <w:r>
              <w:rPr>
                <w:rFonts w:hint="eastAsia" w:ascii="宋体" w:hAnsi="宋体"/>
              </w:rPr>
              <w:t xml:space="preserve">男    </w:t>
            </w:r>
            <w:r>
              <w:rPr>
                <w:kern w:val="0"/>
                <w:szCs w:val="21"/>
              </w:rPr>
              <w:t>􀂅</w:t>
            </w:r>
            <w:r>
              <w:rPr>
                <w:rFonts w:hint="eastAsia" w:ascii="宋体" w:hAnsi="宋体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01" w:type="dxa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国    籍</w:t>
            </w:r>
          </w:p>
        </w:tc>
        <w:tc>
          <w:tcPr>
            <w:tcW w:w="4110" w:type="dxa"/>
            <w:gridSpan w:val="5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418" w:type="dxa"/>
            <w:gridSpan w:val="2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出生日期</w:t>
            </w:r>
          </w:p>
        </w:tc>
        <w:tc>
          <w:tcPr>
            <w:tcW w:w="1893" w:type="dxa"/>
            <w:gridSpan w:val="2"/>
            <w:shd w:val="pct20" w:color="000000" w:fill="FFFFFF"/>
            <w:noWrap w:val="0"/>
            <w:vAlign w:val="top"/>
          </w:tcPr>
          <w:p>
            <w:pPr>
              <w:ind w:firstLine="420" w:firstLineChars="200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01" w:type="dxa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身份证号</w:t>
            </w:r>
          </w:p>
        </w:tc>
        <w:tc>
          <w:tcPr>
            <w:tcW w:w="4110" w:type="dxa"/>
            <w:gridSpan w:val="5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418" w:type="dxa"/>
            <w:gridSpan w:val="2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所学专业</w:t>
            </w:r>
          </w:p>
        </w:tc>
        <w:tc>
          <w:tcPr>
            <w:tcW w:w="1893" w:type="dxa"/>
            <w:gridSpan w:val="2"/>
            <w:shd w:val="pct5" w:color="000000" w:fill="FFFFFF"/>
            <w:noWrap w:val="0"/>
            <w:vAlign w:val="top"/>
          </w:tcPr>
          <w:p>
            <w:pPr>
              <w:ind w:firstLine="420" w:firstLineChars="200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01" w:type="dxa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毕业院校</w:t>
            </w:r>
          </w:p>
        </w:tc>
        <w:tc>
          <w:tcPr>
            <w:tcW w:w="4110" w:type="dxa"/>
            <w:gridSpan w:val="5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418" w:type="dxa"/>
            <w:gridSpan w:val="2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最高学位</w:t>
            </w:r>
          </w:p>
        </w:tc>
        <w:tc>
          <w:tcPr>
            <w:tcW w:w="1893" w:type="dxa"/>
            <w:gridSpan w:val="2"/>
            <w:shd w:val="pct20" w:color="000000" w:fill="FFFFFF"/>
            <w:noWrap w:val="0"/>
            <w:vAlign w:val="top"/>
          </w:tcPr>
          <w:p>
            <w:pPr>
              <w:ind w:firstLine="420" w:firstLineChars="20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01" w:type="dxa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公司名称</w:t>
            </w:r>
          </w:p>
        </w:tc>
        <w:tc>
          <w:tcPr>
            <w:tcW w:w="4110" w:type="dxa"/>
            <w:gridSpan w:val="5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418" w:type="dxa"/>
            <w:gridSpan w:val="2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职    务</w:t>
            </w:r>
          </w:p>
        </w:tc>
        <w:tc>
          <w:tcPr>
            <w:tcW w:w="1893" w:type="dxa"/>
            <w:gridSpan w:val="2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01" w:type="dxa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部    门</w:t>
            </w:r>
          </w:p>
        </w:tc>
        <w:tc>
          <w:tcPr>
            <w:tcW w:w="4110" w:type="dxa"/>
            <w:gridSpan w:val="5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418" w:type="dxa"/>
            <w:gridSpan w:val="2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工作年数</w:t>
            </w:r>
          </w:p>
        </w:tc>
        <w:tc>
          <w:tcPr>
            <w:tcW w:w="1893" w:type="dxa"/>
            <w:gridSpan w:val="2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01" w:type="dxa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公司电话</w:t>
            </w:r>
          </w:p>
        </w:tc>
        <w:tc>
          <w:tcPr>
            <w:tcW w:w="4110" w:type="dxa"/>
            <w:gridSpan w:val="5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418" w:type="dxa"/>
            <w:gridSpan w:val="2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管理工作年数</w:t>
            </w:r>
          </w:p>
        </w:tc>
        <w:tc>
          <w:tcPr>
            <w:tcW w:w="1893" w:type="dxa"/>
            <w:gridSpan w:val="2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01" w:type="dxa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手机号码</w:t>
            </w:r>
          </w:p>
        </w:tc>
        <w:tc>
          <w:tcPr>
            <w:tcW w:w="4110" w:type="dxa"/>
            <w:gridSpan w:val="5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418" w:type="dxa"/>
            <w:gridSpan w:val="2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E-Mail</w:t>
            </w:r>
          </w:p>
        </w:tc>
        <w:tc>
          <w:tcPr>
            <w:tcW w:w="1893" w:type="dxa"/>
            <w:gridSpan w:val="2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01" w:type="dxa"/>
            <w:tcBorders>
              <w:bottom w:val="single" w:color="FFFFFF" w:sz="18" w:space="0"/>
            </w:tcBorders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4110" w:type="dxa"/>
            <w:gridSpan w:val="5"/>
            <w:tcBorders>
              <w:bottom w:val="single" w:color="FFFFFF" w:sz="18" w:space="0"/>
            </w:tcBorders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418" w:type="dxa"/>
            <w:gridSpan w:val="2"/>
            <w:tcBorders>
              <w:bottom w:val="single" w:color="FFFFFF" w:sz="18" w:space="0"/>
            </w:tcBorders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邮    编</w:t>
            </w:r>
          </w:p>
        </w:tc>
        <w:tc>
          <w:tcPr>
            <w:tcW w:w="1893" w:type="dxa"/>
            <w:gridSpan w:val="2"/>
            <w:tcBorders>
              <w:bottom w:val="single" w:color="FFFFFF" w:sz="18" w:space="0"/>
            </w:tcBorders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22" w:type="dxa"/>
            <w:gridSpan w:val="10"/>
            <w:tcBorders>
              <w:top w:val="single" w:color="FFFFFF" w:sz="18" w:space="0"/>
              <w:bottom w:val="single" w:color="FFFFFF" w:sz="18" w:space="0"/>
            </w:tcBorders>
            <w:shd w:val="solid" w:color="7A5FA7" w:fill="FFFFFF"/>
            <w:noWrap w:val="0"/>
            <w:vAlign w:val="top"/>
          </w:tcPr>
          <w:p>
            <w:pPr>
              <w:jc w:val="center"/>
              <w:rPr>
                <w:rFonts w:hint="eastAsia"/>
                <w:b/>
                <w:color w:val="FFFFFF"/>
              </w:rPr>
            </w:pPr>
            <w:r>
              <w:rPr>
                <w:rFonts w:hint="eastAsia"/>
                <w:b/>
                <w:color w:val="FFFFFF"/>
              </w:rPr>
              <w:t>公司背景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09" w:type="dxa"/>
            <w:gridSpan w:val="2"/>
            <w:tcBorders>
              <w:top w:val="single" w:color="FFFFFF" w:sz="18" w:space="0"/>
            </w:tcBorders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产品/服务</w:t>
            </w:r>
          </w:p>
        </w:tc>
        <w:tc>
          <w:tcPr>
            <w:tcW w:w="6713" w:type="dxa"/>
            <w:gridSpan w:val="8"/>
            <w:tcBorders>
              <w:top w:val="single" w:color="FFFFFF" w:sz="18" w:space="0"/>
            </w:tcBorders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09" w:type="dxa"/>
            <w:gridSpan w:val="2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年销售额</w:t>
            </w:r>
          </w:p>
        </w:tc>
        <w:tc>
          <w:tcPr>
            <w:tcW w:w="6713" w:type="dxa"/>
            <w:gridSpan w:val="8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人民币：                    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09" w:type="dxa"/>
            <w:gridSpan w:val="2"/>
            <w:shd w:val="pct20" w:color="000000" w:fill="FFFFFF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是否为上市企业</w:t>
            </w:r>
          </w:p>
        </w:tc>
        <w:tc>
          <w:tcPr>
            <w:tcW w:w="6713" w:type="dxa"/>
            <w:gridSpan w:val="8"/>
            <w:shd w:val="pct20" w:color="000000" w:fill="FFFFFF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是（ </w:t>
            </w:r>
            <w:r>
              <w:t xml:space="preserve">  </w:t>
            </w:r>
            <w:r>
              <w:rPr>
                <w:rFonts w:hint="eastAsia"/>
              </w:rPr>
              <w:t xml:space="preserve">） </w:t>
            </w:r>
            <w:r>
              <w:t xml:space="preserve"> </w:t>
            </w:r>
            <w:r>
              <w:rPr>
                <w:rFonts w:hint="eastAsia"/>
              </w:rPr>
              <w:t xml:space="preserve">否（ </w:t>
            </w:r>
            <w:r>
              <w:t xml:space="preserve">  </w:t>
            </w:r>
            <w:r>
              <w:rPr>
                <w:rFonts w:hint="eastAsia"/>
              </w:rPr>
              <w:t xml:space="preserve">） </w:t>
            </w:r>
            <w:r>
              <w:t xml:space="preserve">      </w:t>
            </w:r>
            <w:r>
              <w:rPr>
                <w:rFonts w:hint="eastAsia"/>
              </w:rPr>
              <w:t>股票代码：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09" w:type="dxa"/>
            <w:gridSpan w:val="2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公司员工人数</w:t>
            </w:r>
          </w:p>
        </w:tc>
        <w:tc>
          <w:tcPr>
            <w:tcW w:w="6713" w:type="dxa"/>
            <w:gridSpan w:val="8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kern w:val="0"/>
                <w:szCs w:val="21"/>
              </w:rPr>
              <w:t>􀂅</w:t>
            </w:r>
            <w:r>
              <w:rPr>
                <w:rFonts w:hint="eastAsia"/>
                <w:kern w:val="0"/>
                <w:szCs w:val="21"/>
              </w:rPr>
              <w:t>50人以下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>􀂅</w:t>
            </w:r>
            <w:r>
              <w:rPr>
                <w:rFonts w:hint="eastAsia"/>
                <w:kern w:val="0"/>
                <w:szCs w:val="21"/>
              </w:rPr>
              <w:t xml:space="preserve">50-300人 </w:t>
            </w:r>
            <w:r>
              <w:rPr>
                <w:kern w:val="0"/>
                <w:szCs w:val="21"/>
              </w:rPr>
              <w:t xml:space="preserve"> 􀂅</w:t>
            </w:r>
            <w:r>
              <w:rPr>
                <w:rFonts w:hint="eastAsia"/>
                <w:kern w:val="0"/>
                <w:szCs w:val="21"/>
              </w:rPr>
              <w:t xml:space="preserve">300-500人 </w:t>
            </w:r>
            <w:r>
              <w:rPr>
                <w:kern w:val="0"/>
                <w:szCs w:val="21"/>
              </w:rPr>
              <w:t xml:space="preserve"> 􀂅</w:t>
            </w:r>
            <w:r>
              <w:rPr>
                <w:rFonts w:hint="eastAsia"/>
                <w:kern w:val="0"/>
                <w:szCs w:val="21"/>
              </w:rPr>
              <w:t>500人以上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09" w:type="dxa"/>
            <w:gridSpan w:val="2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直接下属人数</w:t>
            </w:r>
          </w:p>
        </w:tc>
        <w:tc>
          <w:tcPr>
            <w:tcW w:w="6713" w:type="dxa"/>
            <w:gridSpan w:val="8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kern w:val="0"/>
                <w:szCs w:val="21"/>
              </w:rPr>
              <w:t>􀂅</w:t>
            </w:r>
            <w:r>
              <w:rPr>
                <w:rFonts w:hint="eastAsia"/>
                <w:kern w:val="0"/>
                <w:szCs w:val="21"/>
              </w:rPr>
              <w:t>10人以下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 xml:space="preserve">  </w:t>
            </w:r>
            <w:r>
              <w:rPr>
                <w:kern w:val="0"/>
                <w:szCs w:val="21"/>
              </w:rPr>
              <w:t>􀂅</w:t>
            </w:r>
            <w:r>
              <w:rPr>
                <w:rFonts w:hint="eastAsia"/>
                <w:kern w:val="0"/>
                <w:szCs w:val="21"/>
              </w:rPr>
              <w:t>10-30人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 xml:space="preserve">  </w:t>
            </w:r>
            <w:r>
              <w:rPr>
                <w:kern w:val="0"/>
                <w:szCs w:val="21"/>
              </w:rPr>
              <w:t xml:space="preserve">􀂅 </w:t>
            </w:r>
            <w:r>
              <w:rPr>
                <w:rFonts w:hint="eastAsia"/>
                <w:kern w:val="0"/>
                <w:szCs w:val="21"/>
              </w:rPr>
              <w:t xml:space="preserve">30-50人   </w:t>
            </w:r>
            <w:r>
              <w:rPr>
                <w:kern w:val="0"/>
                <w:szCs w:val="21"/>
              </w:rPr>
              <w:t>􀂅</w:t>
            </w:r>
            <w:r>
              <w:rPr>
                <w:rFonts w:hint="eastAsia"/>
                <w:kern w:val="0"/>
                <w:szCs w:val="21"/>
              </w:rPr>
              <w:t>50人以上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09" w:type="dxa"/>
            <w:gridSpan w:val="2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公司培训负责人</w:t>
            </w:r>
          </w:p>
        </w:tc>
        <w:tc>
          <w:tcPr>
            <w:tcW w:w="2977" w:type="dxa"/>
            <w:gridSpan w:val="2"/>
            <w:shd w:val="pct5" w:color="000000" w:fill="FFFFFF"/>
            <w:noWrap w:val="0"/>
            <w:vAlign w:val="top"/>
          </w:tcPr>
          <w:p>
            <w:pPr>
              <w:jc w:val="center"/>
            </w:pPr>
          </w:p>
        </w:tc>
        <w:tc>
          <w:tcPr>
            <w:tcW w:w="1134" w:type="dxa"/>
            <w:gridSpan w:val="3"/>
            <w:shd w:val="pct5" w:color="000000" w:fill="FFFFFF"/>
            <w:noWrap w:val="0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公司电话</w:t>
            </w:r>
          </w:p>
        </w:tc>
        <w:tc>
          <w:tcPr>
            <w:tcW w:w="2602" w:type="dxa"/>
            <w:gridSpan w:val="3"/>
            <w:shd w:val="pct5" w:color="000000" w:fill="FFFFFF"/>
            <w:noWrap w:val="0"/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09" w:type="dxa"/>
            <w:gridSpan w:val="2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手机号码</w:t>
            </w:r>
          </w:p>
        </w:tc>
        <w:tc>
          <w:tcPr>
            <w:tcW w:w="2977" w:type="dxa"/>
            <w:gridSpan w:val="2"/>
            <w:shd w:val="pct20" w:color="000000" w:fill="FFFFFF"/>
            <w:noWrap w:val="0"/>
            <w:vAlign w:val="top"/>
          </w:tcPr>
          <w:p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134" w:type="dxa"/>
            <w:gridSpan w:val="3"/>
            <w:shd w:val="pct20" w:color="000000" w:fill="FFFFFF"/>
            <w:noWrap w:val="0"/>
            <w:vAlign w:val="top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</w:rPr>
              <w:t>E-Mail</w:t>
            </w:r>
          </w:p>
        </w:tc>
        <w:tc>
          <w:tcPr>
            <w:tcW w:w="2602" w:type="dxa"/>
            <w:gridSpan w:val="3"/>
            <w:shd w:val="pct20" w:color="000000" w:fill="FFFFFF"/>
            <w:noWrap w:val="0"/>
            <w:vAlign w:val="top"/>
          </w:tcPr>
          <w:p>
            <w:pPr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09" w:type="dxa"/>
            <w:gridSpan w:val="2"/>
            <w:tcBorders>
              <w:bottom w:val="single" w:color="FFFFFF" w:sz="18" w:space="0"/>
            </w:tcBorders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请您选择目前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所在的行业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（限选一项）</w:t>
            </w:r>
          </w:p>
        </w:tc>
        <w:tc>
          <w:tcPr>
            <w:tcW w:w="6713" w:type="dxa"/>
            <w:gridSpan w:val="8"/>
            <w:tcBorders>
              <w:bottom w:val="single" w:color="FFFFFF" w:sz="18" w:space="0"/>
            </w:tcBorders>
            <w:shd w:val="pct5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kern w:val="0"/>
                <w:szCs w:val="21"/>
              </w:rPr>
              <w:t>􀂅</w:t>
            </w:r>
            <w:r>
              <w:rPr>
                <w:rFonts w:ascii="Wingdings2" w:hAnsi="Wingdings2" w:cs="Wingdings2"/>
                <w:kern w:val="0"/>
                <w:szCs w:val="21"/>
              </w:rPr>
              <w:t xml:space="preserve"> </w:t>
            </w:r>
            <w:r>
              <w:rPr>
                <w:rFonts w:hint="eastAsia" w:ascii="宋体" w:cs="宋体"/>
                <w:kern w:val="0"/>
                <w:szCs w:val="21"/>
              </w:rPr>
              <w:t xml:space="preserve">农、林、牧、渔            </w:t>
            </w:r>
            <w:r>
              <w:rPr>
                <w:kern w:val="0"/>
                <w:szCs w:val="21"/>
              </w:rPr>
              <w:t>􀂅</w:t>
            </w:r>
            <w:r>
              <w:rPr>
                <w:rFonts w:ascii="Wingdings2" w:hAnsi="Wingdings2" w:cs="Wingdings2"/>
                <w:kern w:val="0"/>
                <w:szCs w:val="21"/>
              </w:rPr>
              <w:t xml:space="preserve"> </w:t>
            </w:r>
            <w:r>
              <w:rPr>
                <w:rFonts w:hint="eastAsia" w:ascii="宋体" w:cs="宋体"/>
                <w:kern w:val="0"/>
                <w:szCs w:val="21"/>
              </w:rPr>
              <w:t>电力、煤气及水的生产和供应业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kern w:val="0"/>
                <w:szCs w:val="21"/>
              </w:rPr>
              <w:t>􀂅</w:t>
            </w:r>
            <w:r>
              <w:rPr>
                <w:rFonts w:ascii="Wingdings2" w:hAnsi="Wingdings2" w:cs="Wingdings2"/>
                <w:kern w:val="0"/>
                <w:szCs w:val="21"/>
              </w:rPr>
              <w:t xml:space="preserve"> </w:t>
            </w:r>
            <w:r>
              <w:rPr>
                <w:rFonts w:hint="eastAsia" w:ascii="宋体" w:cs="宋体"/>
                <w:kern w:val="0"/>
                <w:szCs w:val="21"/>
              </w:rPr>
              <w:t xml:space="preserve">采掘业                    </w:t>
            </w:r>
            <w:r>
              <w:rPr>
                <w:kern w:val="0"/>
                <w:szCs w:val="21"/>
              </w:rPr>
              <w:t>􀂅</w:t>
            </w:r>
            <w:r>
              <w:rPr>
                <w:rFonts w:ascii="Wingdings2" w:hAnsi="Wingdings2" w:cs="Wingdings2"/>
                <w:kern w:val="0"/>
                <w:szCs w:val="21"/>
              </w:rPr>
              <w:t xml:space="preserve"> </w:t>
            </w:r>
            <w:r>
              <w:rPr>
                <w:rFonts w:hint="eastAsia" w:ascii="Wingdings2" w:hAnsi="Wingdings2" w:cs="Wingdings2"/>
                <w:kern w:val="0"/>
                <w:szCs w:val="21"/>
              </w:rPr>
              <w:t>地质勘查业、水利管理业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kern w:val="0"/>
                <w:szCs w:val="21"/>
              </w:rPr>
              <w:t>􀂅</w:t>
            </w:r>
            <w:r>
              <w:rPr>
                <w:rFonts w:ascii="Wingdings2" w:hAnsi="Wingdings2" w:cs="Wingdings2"/>
                <w:kern w:val="0"/>
                <w:szCs w:val="21"/>
              </w:rPr>
              <w:t xml:space="preserve"> </w:t>
            </w:r>
            <w:r>
              <w:rPr>
                <w:rFonts w:hint="eastAsia" w:ascii="宋体" w:cs="宋体"/>
                <w:kern w:val="0"/>
                <w:szCs w:val="21"/>
              </w:rPr>
              <w:t xml:space="preserve">制造业                    </w:t>
            </w:r>
            <w:r>
              <w:rPr>
                <w:kern w:val="0"/>
                <w:szCs w:val="21"/>
              </w:rPr>
              <w:t>􀂅</w:t>
            </w:r>
            <w:r>
              <w:rPr>
                <w:rFonts w:ascii="Wingdings2" w:hAnsi="Wingdings2" w:cs="Wingdings2"/>
                <w:kern w:val="0"/>
                <w:szCs w:val="21"/>
              </w:rPr>
              <w:t xml:space="preserve"> </w:t>
            </w:r>
            <w:r>
              <w:rPr>
                <w:rFonts w:hint="eastAsia" w:ascii="宋体" w:cs="宋体"/>
                <w:kern w:val="0"/>
                <w:szCs w:val="21"/>
              </w:rPr>
              <w:t>交通运输、仓储及邮电通讯业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kern w:val="0"/>
                <w:szCs w:val="21"/>
              </w:rPr>
              <w:t>􀂅</w:t>
            </w:r>
            <w:r>
              <w:rPr>
                <w:rFonts w:ascii="Wingdings2" w:hAnsi="Wingdings2" w:cs="Wingdings2"/>
                <w:kern w:val="0"/>
                <w:szCs w:val="21"/>
              </w:rPr>
              <w:t xml:space="preserve"> </w:t>
            </w:r>
            <w:r>
              <w:rPr>
                <w:rFonts w:hint="eastAsia" w:ascii="宋体" w:cs="宋体"/>
                <w:kern w:val="0"/>
                <w:szCs w:val="21"/>
              </w:rPr>
              <w:t xml:space="preserve">建筑业                    </w:t>
            </w:r>
            <w:r>
              <w:rPr>
                <w:kern w:val="0"/>
                <w:szCs w:val="21"/>
              </w:rPr>
              <w:t>􀂅</w:t>
            </w:r>
            <w:r>
              <w:rPr>
                <w:rFonts w:ascii="Wingdings2" w:hAnsi="Wingdings2" w:cs="Wingdings2"/>
                <w:kern w:val="0"/>
                <w:szCs w:val="21"/>
              </w:rPr>
              <w:t xml:space="preserve"> </w:t>
            </w:r>
            <w:r>
              <w:rPr>
                <w:rFonts w:hint="eastAsia" w:ascii="宋体" w:cs="宋体"/>
                <w:kern w:val="0"/>
                <w:szCs w:val="21"/>
              </w:rPr>
              <w:t>批发和零售贸易、餐饮业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kern w:val="0"/>
                <w:szCs w:val="21"/>
              </w:rPr>
              <w:t>􀂅</w:t>
            </w:r>
            <w:r>
              <w:rPr>
                <w:rFonts w:ascii="Wingdings2" w:hAnsi="Wingdings2" w:cs="Wingdings2"/>
                <w:kern w:val="0"/>
                <w:szCs w:val="21"/>
              </w:rPr>
              <w:t xml:space="preserve"> </w:t>
            </w:r>
            <w:r>
              <w:rPr>
                <w:rFonts w:hint="eastAsia" w:ascii="宋体" w:cs="宋体"/>
                <w:kern w:val="0"/>
                <w:szCs w:val="21"/>
              </w:rPr>
              <w:t xml:space="preserve">金融保险业                </w:t>
            </w:r>
            <w:r>
              <w:rPr>
                <w:kern w:val="0"/>
                <w:szCs w:val="21"/>
              </w:rPr>
              <w:t>􀂅</w:t>
            </w:r>
            <w:r>
              <w:rPr>
                <w:rFonts w:ascii="Wingdings2" w:hAnsi="Wingdings2" w:cs="Wingdings2"/>
                <w:kern w:val="0"/>
                <w:szCs w:val="21"/>
              </w:rPr>
              <w:t xml:space="preserve"> </w:t>
            </w:r>
            <w:r>
              <w:rPr>
                <w:rFonts w:hint="eastAsia" w:ascii="宋体" w:cs="宋体"/>
                <w:kern w:val="0"/>
                <w:szCs w:val="21"/>
              </w:rPr>
              <w:t>卫生、体育和社会福利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kern w:val="0"/>
                <w:szCs w:val="21"/>
              </w:rPr>
              <w:t>􀂅</w:t>
            </w:r>
            <w:r>
              <w:rPr>
                <w:rFonts w:ascii="Wingdings2" w:hAnsi="Wingdings2" w:cs="Wingdings2"/>
                <w:kern w:val="0"/>
                <w:szCs w:val="21"/>
              </w:rPr>
              <w:t xml:space="preserve"> </w:t>
            </w:r>
            <w:r>
              <w:rPr>
                <w:rFonts w:hint="eastAsia" w:ascii="宋体" w:cs="宋体"/>
                <w:kern w:val="0"/>
                <w:szCs w:val="21"/>
              </w:rPr>
              <w:t xml:space="preserve">房地产业                  </w:t>
            </w:r>
            <w:r>
              <w:rPr>
                <w:kern w:val="0"/>
                <w:szCs w:val="21"/>
              </w:rPr>
              <w:t>􀂅</w:t>
            </w:r>
            <w:r>
              <w:rPr>
                <w:rFonts w:ascii="Wingdings2" w:hAnsi="Wingdings2" w:cs="Wingdings2"/>
                <w:kern w:val="0"/>
                <w:szCs w:val="21"/>
              </w:rPr>
              <w:t xml:space="preserve"> </w:t>
            </w:r>
            <w:r>
              <w:rPr>
                <w:rFonts w:hint="eastAsia" w:ascii="宋体" w:cs="宋体"/>
                <w:kern w:val="0"/>
                <w:szCs w:val="21"/>
              </w:rPr>
              <w:t>教育、文化艺术及广播业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kern w:val="0"/>
                <w:szCs w:val="21"/>
              </w:rPr>
              <w:t>􀂅</w:t>
            </w:r>
            <w:r>
              <w:rPr>
                <w:rFonts w:ascii="Wingdings2" w:hAnsi="Wingdings2" w:cs="Wingdings2"/>
                <w:kern w:val="0"/>
                <w:szCs w:val="21"/>
              </w:rPr>
              <w:t xml:space="preserve"> </w:t>
            </w:r>
            <w:r>
              <w:rPr>
                <w:rFonts w:hint="eastAsia" w:ascii="宋体" w:cs="宋体"/>
                <w:kern w:val="0"/>
                <w:szCs w:val="21"/>
              </w:rPr>
              <w:t xml:space="preserve">社会服务业                </w:t>
            </w:r>
            <w:r>
              <w:rPr>
                <w:kern w:val="0"/>
                <w:szCs w:val="21"/>
              </w:rPr>
              <w:t>􀂅</w:t>
            </w:r>
            <w:r>
              <w:rPr>
                <w:rFonts w:ascii="Wingdings2" w:hAnsi="Wingdings2" w:cs="Wingdings2"/>
                <w:kern w:val="0"/>
                <w:szCs w:val="21"/>
              </w:rPr>
              <w:t xml:space="preserve"> </w:t>
            </w:r>
            <w:r>
              <w:rPr>
                <w:rFonts w:hint="eastAsia" w:ascii="宋体" w:cs="宋体"/>
                <w:kern w:val="0"/>
                <w:szCs w:val="21"/>
              </w:rPr>
              <w:t>科学研究和综合技术服务业</w:t>
            </w:r>
          </w:p>
          <w:p>
            <w:pPr>
              <w:jc w:val="left"/>
              <w:rPr>
                <w:rFonts w:hint="eastAsia" w:ascii="宋体" w:cs="宋体"/>
                <w:kern w:val="0"/>
                <w:szCs w:val="21"/>
              </w:rPr>
            </w:pPr>
            <w:r>
              <w:rPr>
                <w:kern w:val="0"/>
                <w:szCs w:val="21"/>
              </w:rPr>
              <w:t>􀂅</w:t>
            </w:r>
            <w:r>
              <w:rPr>
                <w:rFonts w:ascii="Wingdings2" w:hAnsi="Wingdings2" w:cs="Wingdings2"/>
                <w:kern w:val="0"/>
                <w:szCs w:val="21"/>
              </w:rPr>
              <w:t xml:space="preserve"> </w:t>
            </w:r>
            <w:r>
              <w:rPr>
                <w:rFonts w:hint="eastAsia" w:ascii="宋体" w:cs="宋体"/>
                <w:kern w:val="0"/>
                <w:szCs w:val="21"/>
              </w:rPr>
              <w:t>国家机关、党政机关</w:t>
            </w:r>
          </w:p>
          <w:p>
            <w:pPr>
              <w:jc w:val="left"/>
              <w:rPr>
                <w:rFonts w:hint="eastAsia" w:ascii="宋体" w:cs="宋体"/>
                <w:kern w:val="0"/>
                <w:szCs w:val="21"/>
                <w:u w:val="single"/>
              </w:rPr>
            </w:pPr>
            <w:r>
              <w:rPr>
                <w:kern w:val="0"/>
                <w:szCs w:val="21"/>
              </w:rPr>
              <w:t>􀂅</w:t>
            </w:r>
            <w:r>
              <w:rPr>
                <w:rFonts w:ascii="Wingdings2" w:hAnsi="Wingdings2" w:cs="Wingdings2"/>
                <w:kern w:val="0"/>
                <w:szCs w:val="21"/>
              </w:rPr>
              <w:t xml:space="preserve"> </w:t>
            </w:r>
            <w:r>
              <w:rPr>
                <w:rFonts w:hint="eastAsia" w:ascii="宋体" w:cs="宋体"/>
                <w:kern w:val="0"/>
                <w:szCs w:val="21"/>
              </w:rPr>
              <w:t>其他--具体说明：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22" w:type="dxa"/>
            <w:gridSpan w:val="10"/>
            <w:tcBorders>
              <w:top w:val="single" w:color="FFFFFF" w:sz="18" w:space="0"/>
              <w:bottom w:val="single" w:color="FFFFFF" w:sz="18" w:space="0"/>
            </w:tcBorders>
            <w:shd w:val="solid" w:color="7A5FA7" w:fill="FFFFFF"/>
            <w:noWrap w:val="0"/>
            <w:vAlign w:val="top"/>
          </w:tcPr>
          <w:p>
            <w:pPr>
              <w:jc w:val="center"/>
              <w:rPr>
                <w:rFonts w:hint="eastAsia"/>
                <w:b/>
                <w:color w:val="FFFFFF"/>
              </w:rPr>
            </w:pPr>
            <w:r>
              <w:rPr>
                <w:rFonts w:hint="eastAsia"/>
                <w:b/>
                <w:color w:val="FFFFFF"/>
              </w:rPr>
              <w:t>教育培训背景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093" w:type="dxa"/>
            <w:gridSpan w:val="3"/>
            <w:tcBorders>
              <w:top w:val="single" w:color="FFFFFF" w:sz="18" w:space="0"/>
            </w:tcBorders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时间</w:t>
            </w:r>
          </w:p>
        </w:tc>
        <w:tc>
          <w:tcPr>
            <w:tcW w:w="2835" w:type="dxa"/>
            <w:gridSpan w:val="2"/>
            <w:tcBorders>
              <w:top w:val="single" w:color="FFFFFF" w:sz="18" w:space="0"/>
            </w:tcBorders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学校</w:t>
            </w:r>
          </w:p>
        </w:tc>
        <w:tc>
          <w:tcPr>
            <w:tcW w:w="1984" w:type="dxa"/>
            <w:gridSpan w:val="4"/>
            <w:tcBorders>
              <w:top w:val="single" w:color="FFFFFF" w:sz="18" w:space="0"/>
            </w:tcBorders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专业/课程</w:t>
            </w:r>
          </w:p>
        </w:tc>
        <w:tc>
          <w:tcPr>
            <w:tcW w:w="1610" w:type="dxa"/>
            <w:tcBorders>
              <w:top w:val="single" w:color="FFFFFF" w:sz="18" w:space="0"/>
            </w:tcBorders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职务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093" w:type="dxa"/>
            <w:gridSpan w:val="3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2835" w:type="dxa"/>
            <w:gridSpan w:val="2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984" w:type="dxa"/>
            <w:gridSpan w:val="4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610" w:type="dxa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093" w:type="dxa"/>
            <w:gridSpan w:val="3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2835" w:type="dxa"/>
            <w:gridSpan w:val="2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984" w:type="dxa"/>
            <w:gridSpan w:val="4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610" w:type="dxa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093" w:type="dxa"/>
            <w:gridSpan w:val="3"/>
            <w:tcBorders>
              <w:bottom w:val="single" w:color="FFFFFF" w:sz="18" w:space="0"/>
            </w:tcBorders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2835" w:type="dxa"/>
            <w:gridSpan w:val="2"/>
            <w:tcBorders>
              <w:bottom w:val="single" w:color="FFFFFF" w:sz="18" w:space="0"/>
            </w:tcBorders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984" w:type="dxa"/>
            <w:gridSpan w:val="4"/>
            <w:tcBorders>
              <w:bottom w:val="single" w:color="FFFFFF" w:sz="18" w:space="0"/>
            </w:tcBorders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610" w:type="dxa"/>
            <w:tcBorders>
              <w:bottom w:val="single" w:color="FFFFFF" w:sz="18" w:space="0"/>
            </w:tcBorders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22" w:type="dxa"/>
            <w:gridSpan w:val="10"/>
            <w:tcBorders>
              <w:top w:val="single" w:color="FFFFFF" w:sz="18" w:space="0"/>
              <w:bottom w:val="single" w:color="FFFFFF" w:sz="18" w:space="0"/>
            </w:tcBorders>
            <w:shd w:val="solid" w:color="7A5FA7" w:fill="FFFFFF"/>
            <w:noWrap w:val="0"/>
            <w:vAlign w:val="top"/>
          </w:tcPr>
          <w:p>
            <w:pPr>
              <w:jc w:val="center"/>
              <w:rPr>
                <w:rFonts w:hint="eastAsia"/>
                <w:b/>
                <w:color w:val="FFFFFF"/>
              </w:rPr>
            </w:pPr>
            <w:r>
              <w:rPr>
                <w:rFonts w:hint="eastAsia"/>
                <w:b/>
                <w:color w:val="FFFFFF"/>
              </w:rPr>
              <w:t>工作经历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093" w:type="dxa"/>
            <w:gridSpan w:val="3"/>
            <w:tcBorders>
              <w:top w:val="single" w:color="FFFFFF" w:sz="18" w:space="0"/>
            </w:tcBorders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时间</w:t>
            </w:r>
          </w:p>
        </w:tc>
        <w:tc>
          <w:tcPr>
            <w:tcW w:w="4819" w:type="dxa"/>
            <w:gridSpan w:val="6"/>
            <w:tcBorders>
              <w:top w:val="single" w:color="FFFFFF" w:sz="18" w:space="0"/>
            </w:tcBorders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公司名称</w:t>
            </w:r>
          </w:p>
        </w:tc>
        <w:tc>
          <w:tcPr>
            <w:tcW w:w="1610" w:type="dxa"/>
            <w:tcBorders>
              <w:top w:val="single" w:color="FFFFFF" w:sz="18" w:space="0"/>
            </w:tcBorders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职务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093" w:type="dxa"/>
            <w:gridSpan w:val="3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4819" w:type="dxa"/>
            <w:gridSpan w:val="6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610" w:type="dxa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093" w:type="dxa"/>
            <w:gridSpan w:val="3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4819" w:type="dxa"/>
            <w:gridSpan w:val="6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610" w:type="dxa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093" w:type="dxa"/>
            <w:gridSpan w:val="3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4819" w:type="dxa"/>
            <w:gridSpan w:val="6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610" w:type="dxa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22" w:type="dxa"/>
            <w:gridSpan w:val="10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请简要介绍您所在组织或部门情况：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22" w:type="dxa"/>
            <w:gridSpan w:val="10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22" w:type="dxa"/>
            <w:gridSpan w:val="10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您目前所在的组织或部门面临哪些最为严峻的挑战：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22" w:type="dxa"/>
            <w:gridSpan w:val="10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22" w:type="dxa"/>
            <w:gridSpan w:val="10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请说明您参加本课程的目的和目标：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22" w:type="dxa"/>
            <w:gridSpan w:val="10"/>
            <w:shd w:val="pct5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22" w:type="dxa"/>
            <w:gridSpan w:val="10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您是如何获得本课程信息的：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22" w:type="dxa"/>
            <w:gridSpan w:val="10"/>
            <w:shd w:val="pct5" w:color="000000" w:fill="FFFFFF"/>
            <w:noWrap w:val="0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kern w:val="0"/>
                <w:szCs w:val="21"/>
              </w:rPr>
              <w:t>􀂅</w:t>
            </w:r>
            <w:r>
              <w:rPr>
                <w:rFonts w:hint="eastAsia"/>
                <w:kern w:val="0"/>
                <w:szCs w:val="21"/>
              </w:rPr>
              <w:t xml:space="preserve">百度搜索   </w:t>
            </w:r>
            <w:r>
              <w:rPr>
                <w:kern w:val="0"/>
                <w:szCs w:val="21"/>
              </w:rPr>
              <w:t xml:space="preserve"> 􀂅</w:t>
            </w:r>
            <w:r>
              <w:rPr>
                <w:rFonts w:hint="eastAsia"/>
                <w:kern w:val="0"/>
                <w:szCs w:val="21"/>
              </w:rPr>
              <w:t xml:space="preserve">中国人民大学网站  </w:t>
            </w:r>
            <w:r>
              <w:rPr>
                <w:kern w:val="0"/>
                <w:szCs w:val="21"/>
              </w:rPr>
              <w:t xml:space="preserve"> 􀂅</w:t>
            </w:r>
            <w:r>
              <w:rPr>
                <w:rFonts w:hint="eastAsia"/>
                <w:kern w:val="0"/>
                <w:szCs w:val="21"/>
              </w:rPr>
              <w:t xml:space="preserve">中国人民大学商学院网站  </w:t>
            </w:r>
            <w:r>
              <w:rPr>
                <w:kern w:val="0"/>
                <w:szCs w:val="21"/>
              </w:rPr>
              <w:t xml:space="preserve"> 􀂅</w:t>
            </w:r>
            <w:r>
              <w:rPr>
                <w:rFonts w:hint="eastAsia"/>
                <w:kern w:val="0"/>
                <w:szCs w:val="21"/>
              </w:rPr>
              <w:t xml:space="preserve">EDM(邮件直投)  </w:t>
            </w:r>
            <w:r>
              <w:rPr>
                <w:kern w:val="0"/>
                <w:szCs w:val="21"/>
              </w:rPr>
              <w:t xml:space="preserve"> </w:t>
            </w:r>
          </w:p>
          <w:p>
            <w:pPr>
              <w:jc w:val="left"/>
              <w:rPr>
                <w:rFonts w:hint="eastAsia"/>
                <w:u w:val="single"/>
              </w:rPr>
            </w:pPr>
            <w:r>
              <w:rPr>
                <w:kern w:val="0"/>
                <w:szCs w:val="21"/>
              </w:rPr>
              <w:t>􀂅</w:t>
            </w:r>
            <w:r>
              <w:rPr>
                <w:rFonts w:hint="eastAsia"/>
                <w:kern w:val="0"/>
                <w:szCs w:val="21"/>
              </w:rPr>
              <w:t xml:space="preserve">校友推荐      </w:t>
            </w:r>
            <w:r>
              <w:rPr>
                <w:kern w:val="0"/>
                <w:szCs w:val="21"/>
              </w:rPr>
              <w:t>􀂅</w:t>
            </w:r>
            <w:r>
              <w:rPr>
                <w:rFonts w:hint="eastAsia"/>
                <w:kern w:val="0"/>
                <w:szCs w:val="21"/>
              </w:rPr>
              <w:t>其他：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22" w:type="dxa"/>
            <w:gridSpan w:val="10"/>
            <w:shd w:val="pct20" w:color="000000" w:fill="FFFFFF"/>
            <w:noWrap w:val="0"/>
            <w:vAlign w:val="top"/>
          </w:tcPr>
          <w:p>
            <w:pPr>
              <w:jc w:val="center"/>
              <w:rPr>
                <w:rFonts w:hint="eastAsia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撤消政策：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如遇撤消报名或延期入学，必须于开课30天之前以书面形式，提出申请，方可获得全额退款。</w:t>
            </w:r>
            <w:r>
              <w:rPr>
                <w:rFonts w:hint="eastAsia" w:ascii="宋体" w:cs="宋体"/>
                <w:kern w:val="0"/>
                <w:sz w:val="18"/>
                <w:szCs w:val="18"/>
              </w:rPr>
              <w:t>鉴于课程的要求以及课程准备工作的需要，凡在开课前</w:t>
            </w:r>
            <w:r>
              <w:rPr>
                <w:rFonts w:ascii="Arial Narrow" w:hAnsi="Arial Narrow" w:cs="Arial Narrow"/>
                <w:kern w:val="0"/>
                <w:sz w:val="18"/>
                <w:szCs w:val="18"/>
              </w:rPr>
              <w:t>14</w:t>
            </w:r>
            <w:r>
              <w:rPr>
                <w:rFonts w:hint="eastAsia" w:ascii="宋体" w:cs="宋体"/>
                <w:kern w:val="0"/>
                <w:sz w:val="18"/>
                <w:szCs w:val="18"/>
              </w:rPr>
              <w:t>－</w:t>
            </w:r>
            <w:r>
              <w:rPr>
                <w:rFonts w:ascii="Arial Narrow" w:hAnsi="Arial Narrow" w:cs="Arial Narrow"/>
                <w:kern w:val="0"/>
                <w:sz w:val="18"/>
                <w:szCs w:val="18"/>
              </w:rPr>
              <w:t xml:space="preserve">30 </w:t>
            </w:r>
            <w:r>
              <w:rPr>
                <w:rFonts w:hint="eastAsia" w:ascii="宋体" w:cs="宋体"/>
                <w:kern w:val="0"/>
                <w:sz w:val="18"/>
                <w:szCs w:val="18"/>
              </w:rPr>
              <w:t>天之内才要求撤消报名或延期入学者，需交纳课程费用的二分之一；凡在开课前</w:t>
            </w:r>
            <w:r>
              <w:rPr>
                <w:rFonts w:ascii="Arial Narrow" w:hAnsi="Arial Narrow" w:cs="Arial Narrow"/>
                <w:kern w:val="0"/>
                <w:sz w:val="18"/>
                <w:szCs w:val="18"/>
              </w:rPr>
              <w:t>14</w:t>
            </w:r>
            <w:r>
              <w:rPr>
                <w:rFonts w:hint="eastAsia" w:ascii="宋体" w:cs="宋体"/>
                <w:kern w:val="0"/>
                <w:sz w:val="18"/>
                <w:szCs w:val="18"/>
              </w:rPr>
              <w:t>天内才要求撤消报名或延期入学者，需交纳全额课程费用。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凡被录取者，须于开课前付清课程费用。</w:t>
            </w:r>
          </w:p>
        </w:tc>
      </w:tr>
    </w:tbl>
    <w:p>
      <w:pPr>
        <w:autoSpaceDE w:val="0"/>
        <w:autoSpaceDN w:val="0"/>
        <w:adjustRightInd w:val="0"/>
        <w:jc w:val="left"/>
        <w:rPr>
          <w:rFonts w:ascii="宋体" w:cs="宋体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hint="eastAsia"/>
        </w:rPr>
      </w:pPr>
      <w:r>
        <w:rPr>
          <w:rFonts w:hint="eastAsia" w:ascii="宋体" w:cs="宋体"/>
          <w:kern w:val="0"/>
          <w:szCs w:val="21"/>
        </w:rPr>
        <w:t>本人特此证明，所提供的与本申请表相关的一切信息和资料均真实准确。</w:t>
      </w:r>
    </w:p>
    <w:p>
      <w:pPr>
        <w:autoSpaceDE w:val="0"/>
        <w:autoSpaceDN w:val="0"/>
        <w:adjustRightInd w:val="0"/>
        <w:jc w:val="left"/>
        <w:rPr>
          <w:rFonts w:ascii="宋体" w:cs="宋体"/>
          <w:kern w:val="0"/>
          <w:szCs w:val="21"/>
          <w:u w:val="single"/>
        </w:rPr>
      </w:pPr>
      <w:r>
        <w:rPr>
          <w:rFonts w:hint="eastAsia" w:ascii="宋体" w:cs="宋体"/>
          <w:kern w:val="0"/>
          <w:szCs w:val="21"/>
        </w:rPr>
        <w:t>填表人签名：</w:t>
      </w:r>
      <w:r>
        <w:rPr>
          <w:rFonts w:hint="eastAsia" w:ascii="宋体" w:cs="宋体"/>
          <w:kern w:val="0"/>
          <w:szCs w:val="21"/>
          <w:u w:val="single"/>
        </w:rPr>
        <w:t xml:space="preserve">                        </w:t>
      </w:r>
      <w:r>
        <w:rPr>
          <w:rFonts w:ascii="宋体" w:cs="宋体"/>
          <w:kern w:val="0"/>
          <w:szCs w:val="21"/>
        </w:rPr>
        <w:t xml:space="preserve"> </w:t>
      </w:r>
      <w:r>
        <w:rPr>
          <w:rFonts w:hint="eastAsia" w:ascii="宋体" w:cs="宋体"/>
          <w:kern w:val="0"/>
          <w:szCs w:val="21"/>
        </w:rPr>
        <w:t xml:space="preserve">             日期：</w:t>
      </w:r>
      <w:r>
        <w:rPr>
          <w:rFonts w:hint="eastAsia" w:ascii="宋体" w:cs="宋体"/>
          <w:kern w:val="0"/>
          <w:szCs w:val="21"/>
          <w:u w:val="single"/>
        </w:rPr>
        <w:t xml:space="preserve">                </w:t>
      </w:r>
    </w:p>
    <w:p>
      <w:pPr>
        <w:autoSpaceDE w:val="0"/>
        <w:autoSpaceDN w:val="0"/>
        <w:adjustRightInd w:val="0"/>
        <w:jc w:val="left"/>
        <w:rPr>
          <w:rFonts w:ascii="宋体" w:cs="宋体"/>
          <w:kern w:val="0"/>
          <w:szCs w:val="21"/>
        </w:rPr>
      </w:pPr>
      <w:r>
        <w:rPr>
          <w:rFonts w:hint="eastAsia" w:ascii="宋体" w:cs="宋体"/>
          <w:kern w:val="0"/>
          <w:szCs w:val="21"/>
        </w:rPr>
        <w:t>请将申请表发回至：</w:t>
      </w:r>
    </w:p>
    <w:p>
      <w:pPr>
        <w:rPr>
          <w:rFonts w:hint="eastAsia" w:ascii="宋体" w:cs="宋体"/>
          <w:kern w:val="0"/>
          <w:szCs w:val="21"/>
        </w:rPr>
      </w:pPr>
      <w:r>
        <w:rPr>
          <w:rFonts w:hint="eastAsia" w:ascii="宋体" w:cs="宋体"/>
          <w:kern w:val="0"/>
          <w:szCs w:val="21"/>
        </w:rPr>
        <w:t>中国人民大学商学院</w:t>
      </w:r>
    </w:p>
    <w:p>
      <w:pPr>
        <w:rPr>
          <w:rFonts w:hint="eastAsia" w:ascii="宋体" w:cs="宋体"/>
          <w:kern w:val="0"/>
          <w:szCs w:val="21"/>
        </w:rPr>
      </w:pPr>
      <w:r>
        <w:rPr>
          <w:rFonts w:hint="eastAsia" w:ascii="宋体" w:cs="宋体"/>
          <w:kern w:val="0"/>
          <w:szCs w:val="21"/>
        </w:rPr>
        <w:t>高层管理教育（Executive Education）中心</w:t>
      </w:r>
    </w:p>
    <w:p>
      <w:pPr>
        <w:rPr>
          <w:rFonts w:hint="eastAsia"/>
          <w:szCs w:val="21"/>
        </w:rPr>
      </w:pPr>
      <w:r>
        <w:rPr>
          <w:rFonts w:hint="eastAsia" w:ascii="宋体" w:cs="宋体"/>
          <w:kern w:val="0"/>
          <w:szCs w:val="21"/>
        </w:rPr>
        <w:t>地址：中国人民大学明德商学楼8层</w:t>
      </w:r>
    </w:p>
    <w:p>
      <w:pPr>
        <w:pStyle w:val="17"/>
        <w:spacing w:line="240" w:lineRule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Wingdings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Arial Narrow">
    <w:altName w:val="Arial"/>
    <w:panose1 w:val="020B0606020202030204"/>
    <w:charset w:val="00"/>
    <w:family w:val="swiss"/>
    <w:pitch w:val="default"/>
    <w:sig w:usb0="00000000" w:usb1="00000000" w:usb2="00000000" w:usb3="00000000" w:csb0="0000009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  <w:r>
      <w:drawing>
        <wp:inline distT="0" distB="0" distL="0" distR="0">
          <wp:extent cx="1424940" cy="391160"/>
          <wp:effectExtent l="0" t="0" r="3810" b="8890"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132" cy="4108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95F0E"/>
    <w:multiLevelType w:val="multilevel"/>
    <w:tmpl w:val="22695F0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177"/>
    <w:rsid w:val="00001953"/>
    <w:rsid w:val="00013A0C"/>
    <w:rsid w:val="000200C3"/>
    <w:rsid w:val="00021BBA"/>
    <w:rsid w:val="00022538"/>
    <w:rsid w:val="000232DC"/>
    <w:rsid w:val="00035536"/>
    <w:rsid w:val="00035DBB"/>
    <w:rsid w:val="000420FF"/>
    <w:rsid w:val="0004302C"/>
    <w:rsid w:val="00055F4E"/>
    <w:rsid w:val="00060A83"/>
    <w:rsid w:val="0006123A"/>
    <w:rsid w:val="00062D46"/>
    <w:rsid w:val="000635FC"/>
    <w:rsid w:val="00065BF6"/>
    <w:rsid w:val="00080177"/>
    <w:rsid w:val="0009021D"/>
    <w:rsid w:val="000A0607"/>
    <w:rsid w:val="000A248D"/>
    <w:rsid w:val="000A4552"/>
    <w:rsid w:val="000B01EA"/>
    <w:rsid w:val="000C218E"/>
    <w:rsid w:val="000D23B6"/>
    <w:rsid w:val="00103B93"/>
    <w:rsid w:val="00111632"/>
    <w:rsid w:val="00125C99"/>
    <w:rsid w:val="00136127"/>
    <w:rsid w:val="00157D11"/>
    <w:rsid w:val="00166B46"/>
    <w:rsid w:val="00167926"/>
    <w:rsid w:val="001804DC"/>
    <w:rsid w:val="001967BC"/>
    <w:rsid w:val="001B3A45"/>
    <w:rsid w:val="001B4041"/>
    <w:rsid w:val="001C62D9"/>
    <w:rsid w:val="001D0A13"/>
    <w:rsid w:val="001D74F3"/>
    <w:rsid w:val="001D7A9B"/>
    <w:rsid w:val="001E2380"/>
    <w:rsid w:val="001F5A6D"/>
    <w:rsid w:val="001F61BD"/>
    <w:rsid w:val="00211815"/>
    <w:rsid w:val="00215E42"/>
    <w:rsid w:val="00223B89"/>
    <w:rsid w:val="0022565A"/>
    <w:rsid w:val="00226088"/>
    <w:rsid w:val="00233EEB"/>
    <w:rsid w:val="00242217"/>
    <w:rsid w:val="002561EE"/>
    <w:rsid w:val="00270AD8"/>
    <w:rsid w:val="00272CF1"/>
    <w:rsid w:val="002861AA"/>
    <w:rsid w:val="00290249"/>
    <w:rsid w:val="00293755"/>
    <w:rsid w:val="002970F0"/>
    <w:rsid w:val="002972F4"/>
    <w:rsid w:val="002C43E7"/>
    <w:rsid w:val="002D1133"/>
    <w:rsid w:val="002D3338"/>
    <w:rsid w:val="002D4227"/>
    <w:rsid w:val="002D4641"/>
    <w:rsid w:val="002D5864"/>
    <w:rsid w:val="002E00A4"/>
    <w:rsid w:val="002F1C84"/>
    <w:rsid w:val="002F5F95"/>
    <w:rsid w:val="00300232"/>
    <w:rsid w:val="003013FA"/>
    <w:rsid w:val="003016EC"/>
    <w:rsid w:val="00310310"/>
    <w:rsid w:val="00331F62"/>
    <w:rsid w:val="00336C72"/>
    <w:rsid w:val="00356FC5"/>
    <w:rsid w:val="00357E0B"/>
    <w:rsid w:val="00367CB6"/>
    <w:rsid w:val="00391427"/>
    <w:rsid w:val="003936B4"/>
    <w:rsid w:val="003A0405"/>
    <w:rsid w:val="003A3DCE"/>
    <w:rsid w:val="003A3EF7"/>
    <w:rsid w:val="003B7623"/>
    <w:rsid w:val="003D0E67"/>
    <w:rsid w:val="003D5346"/>
    <w:rsid w:val="003E7DE8"/>
    <w:rsid w:val="003F04F5"/>
    <w:rsid w:val="003F6F69"/>
    <w:rsid w:val="003F740E"/>
    <w:rsid w:val="003F7E36"/>
    <w:rsid w:val="00406D52"/>
    <w:rsid w:val="00411212"/>
    <w:rsid w:val="004210BE"/>
    <w:rsid w:val="0042223E"/>
    <w:rsid w:val="0042314A"/>
    <w:rsid w:val="004254FD"/>
    <w:rsid w:val="00427DF4"/>
    <w:rsid w:val="004300ED"/>
    <w:rsid w:val="004404DB"/>
    <w:rsid w:val="00446B54"/>
    <w:rsid w:val="00454141"/>
    <w:rsid w:val="00456980"/>
    <w:rsid w:val="004656D6"/>
    <w:rsid w:val="00472053"/>
    <w:rsid w:val="00472D0A"/>
    <w:rsid w:val="00474730"/>
    <w:rsid w:val="00474794"/>
    <w:rsid w:val="00475E43"/>
    <w:rsid w:val="004818AB"/>
    <w:rsid w:val="004B225E"/>
    <w:rsid w:val="004C5492"/>
    <w:rsid w:val="004D5A48"/>
    <w:rsid w:val="004F01C0"/>
    <w:rsid w:val="004F34C7"/>
    <w:rsid w:val="005037F0"/>
    <w:rsid w:val="00507C71"/>
    <w:rsid w:val="005173FE"/>
    <w:rsid w:val="005260DB"/>
    <w:rsid w:val="005331A5"/>
    <w:rsid w:val="00541A32"/>
    <w:rsid w:val="00544E4F"/>
    <w:rsid w:val="00552ED7"/>
    <w:rsid w:val="00561468"/>
    <w:rsid w:val="00564C98"/>
    <w:rsid w:val="00580307"/>
    <w:rsid w:val="00580E31"/>
    <w:rsid w:val="00593018"/>
    <w:rsid w:val="005C0B4B"/>
    <w:rsid w:val="005F23A0"/>
    <w:rsid w:val="00602445"/>
    <w:rsid w:val="006107CD"/>
    <w:rsid w:val="006133A6"/>
    <w:rsid w:val="00626071"/>
    <w:rsid w:val="00632FC8"/>
    <w:rsid w:val="00633339"/>
    <w:rsid w:val="006421D9"/>
    <w:rsid w:val="0064325C"/>
    <w:rsid w:val="00645817"/>
    <w:rsid w:val="00651F09"/>
    <w:rsid w:val="00655551"/>
    <w:rsid w:val="00656AFA"/>
    <w:rsid w:val="00673BAA"/>
    <w:rsid w:val="00677303"/>
    <w:rsid w:val="00677DDE"/>
    <w:rsid w:val="00693642"/>
    <w:rsid w:val="00693715"/>
    <w:rsid w:val="0069763F"/>
    <w:rsid w:val="0069796F"/>
    <w:rsid w:val="006C024F"/>
    <w:rsid w:val="006C21F7"/>
    <w:rsid w:val="006D5F6F"/>
    <w:rsid w:val="006E1DB9"/>
    <w:rsid w:val="006E47E8"/>
    <w:rsid w:val="006E7EA9"/>
    <w:rsid w:val="006F2C19"/>
    <w:rsid w:val="006F7F94"/>
    <w:rsid w:val="00716308"/>
    <w:rsid w:val="00723853"/>
    <w:rsid w:val="007358E8"/>
    <w:rsid w:val="0073682D"/>
    <w:rsid w:val="00747E57"/>
    <w:rsid w:val="007572A8"/>
    <w:rsid w:val="00760AC6"/>
    <w:rsid w:val="00764900"/>
    <w:rsid w:val="00764D03"/>
    <w:rsid w:val="00780B63"/>
    <w:rsid w:val="007922D3"/>
    <w:rsid w:val="007950C2"/>
    <w:rsid w:val="00795F12"/>
    <w:rsid w:val="00796AE7"/>
    <w:rsid w:val="00797FEB"/>
    <w:rsid w:val="007A239B"/>
    <w:rsid w:val="007B1F61"/>
    <w:rsid w:val="007B369B"/>
    <w:rsid w:val="007D7CC3"/>
    <w:rsid w:val="007E1517"/>
    <w:rsid w:val="007F1C21"/>
    <w:rsid w:val="007F2C9E"/>
    <w:rsid w:val="00801274"/>
    <w:rsid w:val="00802283"/>
    <w:rsid w:val="00810B85"/>
    <w:rsid w:val="00813428"/>
    <w:rsid w:val="008145B2"/>
    <w:rsid w:val="00832DF5"/>
    <w:rsid w:val="00837A2A"/>
    <w:rsid w:val="00844198"/>
    <w:rsid w:val="008533AA"/>
    <w:rsid w:val="00853920"/>
    <w:rsid w:val="0086324B"/>
    <w:rsid w:val="00884FDB"/>
    <w:rsid w:val="008864E5"/>
    <w:rsid w:val="00890AEF"/>
    <w:rsid w:val="00892996"/>
    <w:rsid w:val="008A6583"/>
    <w:rsid w:val="008A6F62"/>
    <w:rsid w:val="008B1796"/>
    <w:rsid w:val="008B4D3A"/>
    <w:rsid w:val="008D1417"/>
    <w:rsid w:val="008D66E9"/>
    <w:rsid w:val="008D7BD1"/>
    <w:rsid w:val="008E7BC3"/>
    <w:rsid w:val="008F4AB4"/>
    <w:rsid w:val="008F5E01"/>
    <w:rsid w:val="00902F95"/>
    <w:rsid w:val="009033AF"/>
    <w:rsid w:val="0091305A"/>
    <w:rsid w:val="00936C87"/>
    <w:rsid w:val="009406D8"/>
    <w:rsid w:val="00940B78"/>
    <w:rsid w:val="00944D0E"/>
    <w:rsid w:val="0094638D"/>
    <w:rsid w:val="00947ACA"/>
    <w:rsid w:val="00960485"/>
    <w:rsid w:val="00965E14"/>
    <w:rsid w:val="00980943"/>
    <w:rsid w:val="00987D11"/>
    <w:rsid w:val="009A68F2"/>
    <w:rsid w:val="009B47E4"/>
    <w:rsid w:val="009E1957"/>
    <w:rsid w:val="009E3222"/>
    <w:rsid w:val="009E4D2F"/>
    <w:rsid w:val="00A02420"/>
    <w:rsid w:val="00A05D49"/>
    <w:rsid w:val="00A211A9"/>
    <w:rsid w:val="00A2168A"/>
    <w:rsid w:val="00A25636"/>
    <w:rsid w:val="00A54BF8"/>
    <w:rsid w:val="00A56B9C"/>
    <w:rsid w:val="00A72EC4"/>
    <w:rsid w:val="00A7349D"/>
    <w:rsid w:val="00A778AB"/>
    <w:rsid w:val="00A77A69"/>
    <w:rsid w:val="00A800EE"/>
    <w:rsid w:val="00A85594"/>
    <w:rsid w:val="00A94085"/>
    <w:rsid w:val="00AA6D50"/>
    <w:rsid w:val="00AB104E"/>
    <w:rsid w:val="00AB5EB6"/>
    <w:rsid w:val="00AC02F5"/>
    <w:rsid w:val="00AC678A"/>
    <w:rsid w:val="00AD0EFB"/>
    <w:rsid w:val="00AD5782"/>
    <w:rsid w:val="00AD593F"/>
    <w:rsid w:val="00AE04E9"/>
    <w:rsid w:val="00AE2E8F"/>
    <w:rsid w:val="00AE61B3"/>
    <w:rsid w:val="00B1293B"/>
    <w:rsid w:val="00B255BC"/>
    <w:rsid w:val="00B27A75"/>
    <w:rsid w:val="00B332F9"/>
    <w:rsid w:val="00B40204"/>
    <w:rsid w:val="00B4743F"/>
    <w:rsid w:val="00B508A8"/>
    <w:rsid w:val="00B510BC"/>
    <w:rsid w:val="00B51327"/>
    <w:rsid w:val="00B57A43"/>
    <w:rsid w:val="00BC20AA"/>
    <w:rsid w:val="00BD6587"/>
    <w:rsid w:val="00C04C0A"/>
    <w:rsid w:val="00C1309A"/>
    <w:rsid w:val="00C24B17"/>
    <w:rsid w:val="00C33F47"/>
    <w:rsid w:val="00C35BEB"/>
    <w:rsid w:val="00C54F35"/>
    <w:rsid w:val="00C57288"/>
    <w:rsid w:val="00C700CB"/>
    <w:rsid w:val="00C979B6"/>
    <w:rsid w:val="00CB0924"/>
    <w:rsid w:val="00CB0F8E"/>
    <w:rsid w:val="00CE1CA1"/>
    <w:rsid w:val="00D01A4A"/>
    <w:rsid w:val="00D047EB"/>
    <w:rsid w:val="00D06297"/>
    <w:rsid w:val="00D079D1"/>
    <w:rsid w:val="00D221C3"/>
    <w:rsid w:val="00D23FED"/>
    <w:rsid w:val="00D3087D"/>
    <w:rsid w:val="00D41DDE"/>
    <w:rsid w:val="00D5025A"/>
    <w:rsid w:val="00D562F5"/>
    <w:rsid w:val="00D64203"/>
    <w:rsid w:val="00D733E1"/>
    <w:rsid w:val="00D866CE"/>
    <w:rsid w:val="00DC11CF"/>
    <w:rsid w:val="00DD466F"/>
    <w:rsid w:val="00DE1E78"/>
    <w:rsid w:val="00DE4F12"/>
    <w:rsid w:val="00DE76EC"/>
    <w:rsid w:val="00DF1F17"/>
    <w:rsid w:val="00DF392C"/>
    <w:rsid w:val="00DF4FC4"/>
    <w:rsid w:val="00E1406B"/>
    <w:rsid w:val="00E217B3"/>
    <w:rsid w:val="00E34F69"/>
    <w:rsid w:val="00E409DA"/>
    <w:rsid w:val="00E51158"/>
    <w:rsid w:val="00E5153A"/>
    <w:rsid w:val="00E545F6"/>
    <w:rsid w:val="00E6159F"/>
    <w:rsid w:val="00E67E6F"/>
    <w:rsid w:val="00E70176"/>
    <w:rsid w:val="00E7138B"/>
    <w:rsid w:val="00E82F03"/>
    <w:rsid w:val="00E844A6"/>
    <w:rsid w:val="00E85AD9"/>
    <w:rsid w:val="00E91FE8"/>
    <w:rsid w:val="00EA2A61"/>
    <w:rsid w:val="00EA3A23"/>
    <w:rsid w:val="00EA79E5"/>
    <w:rsid w:val="00EB23BB"/>
    <w:rsid w:val="00EB4214"/>
    <w:rsid w:val="00EB62F8"/>
    <w:rsid w:val="00EC06DA"/>
    <w:rsid w:val="00ED070B"/>
    <w:rsid w:val="00EF1B66"/>
    <w:rsid w:val="00F044F3"/>
    <w:rsid w:val="00F21BB0"/>
    <w:rsid w:val="00F40FEF"/>
    <w:rsid w:val="00F45D91"/>
    <w:rsid w:val="00F53A38"/>
    <w:rsid w:val="00F70890"/>
    <w:rsid w:val="00F733C3"/>
    <w:rsid w:val="00F85F99"/>
    <w:rsid w:val="00F93DF4"/>
    <w:rsid w:val="00FC36FB"/>
    <w:rsid w:val="00FC6F97"/>
    <w:rsid w:val="00FF71E2"/>
    <w:rsid w:val="16191171"/>
    <w:rsid w:val="17A46771"/>
    <w:rsid w:val="1AE5765D"/>
    <w:rsid w:val="22B36298"/>
    <w:rsid w:val="38C34A19"/>
    <w:rsid w:val="3BA25807"/>
    <w:rsid w:val="5EF157F2"/>
    <w:rsid w:val="680026D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2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Times New Roman" w:hAnsi="Times New Roman" w:eastAsia="Times New Roman" w:cs="Times New Roman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Emphasis"/>
    <w:basedOn w:val="9"/>
    <w:qFormat/>
    <w:uiPriority w:val="20"/>
    <w:rPr>
      <w:color w:val="CC0000"/>
    </w:rPr>
  </w:style>
  <w:style w:type="character" w:styleId="12">
    <w:name w:val="Hyperlink"/>
    <w:qFormat/>
    <w:uiPriority w:val="0"/>
    <w:rPr>
      <w:color w:val="0000FF"/>
      <w:u w:val="single"/>
    </w:rPr>
  </w:style>
  <w:style w:type="character" w:customStyle="1" w:styleId="13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4">
    <w:name w:val="页脚 字符"/>
    <w:basedOn w:val="9"/>
    <w:link w:val="4"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字符"/>
    <w:basedOn w:val="9"/>
    <w:link w:val="3"/>
    <w:semiHidden/>
    <w:qFormat/>
    <w:uiPriority w:val="99"/>
    <w:rPr>
      <w:sz w:val="18"/>
      <w:szCs w:val="18"/>
    </w:rPr>
  </w:style>
  <w:style w:type="paragraph" w:customStyle="1" w:styleId="17">
    <w:name w:val="Default"/>
    <w:qFormat/>
    <w:uiPriority w:val="0"/>
    <w:pPr>
      <w:autoSpaceDE w:val="0"/>
      <w:autoSpaceDN w:val="0"/>
      <w:adjustRightInd w:val="0"/>
    </w:pPr>
    <w:rPr>
      <w:rFonts w:ascii="华文细黑" w:hAnsi="Times New Roman" w:eastAsia="华文细黑" w:cs="华文细黑"/>
      <w:color w:val="000000"/>
      <w:sz w:val="24"/>
      <w:szCs w:val="24"/>
      <w:lang w:val="en-US" w:eastAsia="zh-CN" w:bidi="ar-SA"/>
    </w:rPr>
  </w:style>
  <w:style w:type="paragraph" w:customStyle="1" w:styleId="18">
    <w:name w:val="p0"/>
    <w:basedOn w:val="1"/>
    <w:qFormat/>
    <w:uiPriority w:val="0"/>
    <w:pPr>
      <w:widowControl/>
    </w:pPr>
    <w:rPr>
      <w:rFonts w:ascii="Times New Roman" w:hAnsi="Times New Roman" w:eastAsia="宋体" w:cs="Times New Roman"/>
      <w:kern w:val="0"/>
      <w:szCs w:val="21"/>
    </w:rPr>
  </w:style>
  <w:style w:type="paragraph" w:customStyle="1" w:styleId="19">
    <w:name w:val="人大EDP小标题"/>
    <w:basedOn w:val="6"/>
    <w:link w:val="20"/>
    <w:qFormat/>
    <w:uiPriority w:val="0"/>
    <w:pPr>
      <w:spacing w:before="0" w:beforeAutospacing="0" w:after="0" w:afterAutospacing="0" w:line="360" w:lineRule="auto"/>
    </w:pPr>
    <w:rPr>
      <w:rFonts w:ascii="黑体" w:eastAsia="黑体" w:cs="Times New Roman"/>
      <w:b/>
      <w:color w:val="800000"/>
    </w:rPr>
  </w:style>
  <w:style w:type="character" w:customStyle="1" w:styleId="20">
    <w:name w:val="人大EDP小标题 Char"/>
    <w:link w:val="19"/>
    <w:qFormat/>
    <w:uiPriority w:val="0"/>
    <w:rPr>
      <w:rFonts w:ascii="黑体" w:hAnsi="宋体" w:eastAsia="黑体" w:cs="Times New Roman"/>
      <w:b/>
      <w:color w:val="800000"/>
      <w:kern w:val="0"/>
      <w:sz w:val="24"/>
      <w:szCs w:val="24"/>
    </w:rPr>
  </w:style>
  <w:style w:type="character" w:customStyle="1" w:styleId="21">
    <w:name w:val="标题 3 字符"/>
    <w:basedOn w:val="9"/>
    <w:semiHidden/>
    <w:qFormat/>
    <w:uiPriority w:val="9"/>
    <w:rPr>
      <w:b/>
      <w:bCs/>
      <w:sz w:val="32"/>
      <w:szCs w:val="32"/>
    </w:rPr>
  </w:style>
  <w:style w:type="character" w:customStyle="1" w:styleId="22">
    <w:name w:val="标题 3 字符1"/>
    <w:link w:val="2"/>
    <w:qFormat/>
    <w:uiPriority w:val="9"/>
    <w:rPr>
      <w:rFonts w:ascii="Times New Roman" w:hAnsi="Times New Roman" w:eastAsia="Times New Roman" w:cs="Times New Roman"/>
      <w:b/>
      <w:bCs/>
      <w:kern w:val="0"/>
      <w:sz w:val="27"/>
      <w:szCs w:val="27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file:///C:\Users\user\AppData\Roaming\Tencent\Users\408092181\QQ\WinTemp\RichOle\(~9O)13IG%252525257b(KVW4ZOWEG6OO.jpg" TargetMode="External"/><Relationship Id="rId26" Type="http://schemas.openxmlformats.org/officeDocument/2006/relationships/image" Target="media/image17.jpeg"/><Relationship Id="rId25" Type="http://schemas.openxmlformats.org/officeDocument/2006/relationships/image" Target="file:///C:\Users\rbs\AppData\Roaming\Tencent\Users\408092181\QQ\WinTemp\RichOle\V(2%25252525257d%25252525257b0HPES%25252525255d%25252525255d1$T%25252525255d0VWE4K6.png" TargetMode="External"/><Relationship Id="rId24" Type="http://schemas.openxmlformats.org/officeDocument/2006/relationships/image" Target="media/image16.png"/><Relationship Id="rId23" Type="http://schemas.openxmlformats.org/officeDocument/2006/relationships/image" Target="file:///C:\Users\rbs\AppData\Roaming\Tencent\Users\408092181\QQ\WinTemp\RichOle\I8A@A~7T4%25252525255dFP)6@%25252525255dC$9)L_B.png" TargetMode="External"/><Relationship Id="rId22" Type="http://schemas.openxmlformats.org/officeDocument/2006/relationships/image" Target="media/image15.png"/><Relationship Id="rId21" Type="http://schemas.openxmlformats.org/officeDocument/2006/relationships/image" Target="file:///C:\Users\user\AppData\Roaming\Tencent\Users\408092181\QQ\WinTemp\RichOle\9%252525252560UD%25252525255dY~UO%25252525257d7W49)CN8Z07Q1.png" TargetMode="Externa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file:///C:\Users\user\AppData\Roaming\Tencent\Users\408092181\QQ\WinTemp\RichOle\%25252525257dJCD)V)F4YY%25252525257bK1N%252525252525U$E%25252525257b%25252525255b%252525252560P.png" TargetMode="External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file:///C:\Users\rbs\AppData\Roaming\Tencent\Users\408092181\QQ\WinTemp\RichOle\X3QU(Z$E18%252525252525MMJ%25252525257d5BZ$LEIA.png" TargetMode="External"/><Relationship Id="rId12" Type="http://schemas.openxmlformats.org/officeDocument/2006/relationships/image" Target="media/image8.jpeg"/><Relationship Id="rId11" Type="http://schemas.openxmlformats.org/officeDocument/2006/relationships/image" Target="file:///C:\Users\user\AppData\Roaming\Tencent\Users\408092181\QQ\WinTemp\RichOle\HJT_2JD$SR4)6X8H4KBXFK7.jpg" TargetMode="Externa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6773F0-D3C5-4283-A8C0-45CEE70202A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.</Company>
  <Pages>8</Pages>
  <Words>612</Words>
  <Characters>3489</Characters>
  <Lines>29</Lines>
  <Paragraphs>8</Paragraphs>
  <TotalTime>39</TotalTime>
  <ScaleCrop>false</ScaleCrop>
  <LinksUpToDate>false</LinksUpToDate>
  <CharactersWithSpaces>4093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2019-12-02T10:53:00Z</dcterms:created>
  <dc:creator>***</dc:creator>
  <cp:lastModifiedBy>郭朋云</cp:lastModifiedBy>
  <cp:lastPrinted>2018-05-24T03:13:00Z</cp:lastPrinted>
  <dcterms:modified xsi:type="dcterms:W3CDTF">2019-12-19T08:50:08Z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