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lang w:val="en-US"/>
        </w:rPr>
      </w:pPr>
      <w:r>
        <w:rPr>
          <w:rFonts w:hint="eastAsia"/>
          <w:sz w:val="24"/>
        </w:rPr>
        <w:t xml:space="preserve">西安交通大学苏州研究院 </w:t>
      </w:r>
      <w:bookmarkStart w:id="0" w:name="_GoBack"/>
      <w:r>
        <w:rPr>
          <w:rFonts w:hint="eastAsia"/>
          <w:sz w:val="24"/>
          <w:lang w:val="en-US" w:eastAsia="zh-Hans"/>
        </w:rPr>
        <w:t>英国</w:t>
      </w:r>
      <w:bookmarkEnd w:id="0"/>
      <w:r>
        <w:rPr>
          <w:rFonts w:hint="eastAsia"/>
          <w:sz w:val="24"/>
          <w:lang w:val="en-US" w:eastAsia="zh-Hans"/>
        </w:rPr>
        <w:t>名校预科</w:t>
      </w:r>
    </w:p>
    <w:p>
      <w:pPr>
        <w:rPr>
          <w:rFonts w:hint="eastAsia"/>
          <w:sz w:val="20"/>
        </w:rPr>
      </w:pPr>
      <w:r>
        <w:rPr>
          <w:rFonts w:hint="eastAsia"/>
          <w:b/>
          <w:bCs/>
          <w:color w:val="13859A"/>
          <w:spacing w:val="23"/>
          <w:sz w:val="24"/>
          <w:szCs w:val="28"/>
        </w:rPr>
        <w:t>学校介绍</w:t>
      </w:r>
    </w:p>
    <w:p>
      <w:pPr>
        <w:rPr>
          <w:rFonts w:hint="eastAsia"/>
        </w:rPr>
      </w:pPr>
      <w:r>
        <w:t>西安交通大学是国家教育部直属重点大学，创建于1896年，是首批进入国家“211”和 “985”工程建设、被国家确定为以建设世界知名高水平大学为目标的学校。西安交通大学是一所具有理工特色，涵盖理、工、医、经济、管理、文、法、哲、教育和艺术等 10 个学科门类的综合性研究型大学。</w:t>
      </w:r>
    </w:p>
    <w:p>
      <w:pPr>
        <w:rPr>
          <w:rFonts w:hint="eastAsia"/>
        </w:rPr>
      </w:pPr>
      <w:r>
        <w:t>西安交通大学苏州研究院，是西安交通大学与苏州市人民政府联合共建的教育科研事业单位，是为西安交通大学在江苏建设中外合作办学基地、教育培训基地、科学研究基地和科技成果转化基地。先后开设了国际本硕预科、国际高中课程等国际教育项目，与中国（教育部）留学服务中心建立了战略合作伙伴关系，并与20余所海外知名院校建立了国际教育合作关系</w:t>
      </w:r>
      <w:r>
        <w:rPr>
          <w:rFonts w:hint="eastAsia"/>
        </w:rPr>
        <w:t>。</w:t>
      </w:r>
    </w:p>
    <w:p>
      <w:r>
        <w:drawing>
          <wp:inline distT="0" distB="0" distL="0" distR="0">
            <wp:extent cx="3300730" cy="218694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3312072" cy="2194347"/>
                    </a:xfrm>
                    <a:prstGeom prst="rect">
                      <a:avLst/>
                    </a:prstGeom>
                  </pic:spPr>
                </pic:pic>
              </a:graphicData>
            </a:graphic>
          </wp:inline>
        </w:drawing>
      </w:r>
    </w:p>
    <w:p/>
    <w:p>
      <w:pPr>
        <w:rPr>
          <w:b/>
          <w:bCs/>
          <w:color w:val="13859A"/>
          <w:spacing w:val="23"/>
          <w:sz w:val="24"/>
          <w:szCs w:val="28"/>
        </w:rPr>
      </w:pPr>
      <w:r>
        <w:rPr>
          <w:b/>
          <w:bCs/>
          <w:color w:val="13859A"/>
          <w:spacing w:val="23"/>
          <w:sz w:val="24"/>
          <w:szCs w:val="28"/>
        </w:rPr>
        <w:t>项目简介</w:t>
      </w:r>
    </w:p>
    <w:p>
      <w:pPr>
        <w:rPr>
          <w:rFonts w:hint="eastAsia"/>
        </w:rPr>
      </w:pPr>
      <w:r>
        <w:rPr>
          <w:rFonts w:hint="eastAsia"/>
        </w:rPr>
        <w:t>国际本硕预科精英计划项目，为未能进入国内理想院校深造的广大学子提供海外名校本科及研究生学习机会的绿色通道。</w:t>
      </w:r>
    </w:p>
    <w:p>
      <w:r>
        <w:rPr>
          <w:rFonts w:hint="eastAsia"/>
        </w:rPr>
        <w:t>➤项目依据全球名校精英计划,结合中国教育体制与西方教育体制，独创了三大模块的培养计划——专业课程模块、中外教育衔接模块、社会实践模块，意在帮助学生在一定程度上具备国外专业学习所需的语言能力、专业知识、学习技巧等。</w:t>
      </w:r>
    </w:p>
    <w:p/>
    <w:p>
      <w:pPr>
        <w:rPr>
          <w:rFonts w:hint="eastAsia"/>
          <w:b/>
          <w:bCs/>
          <w:color w:val="13859A"/>
          <w:spacing w:val="23"/>
          <w:sz w:val="24"/>
          <w:szCs w:val="28"/>
        </w:rPr>
      </w:pPr>
      <w:r>
        <w:rPr>
          <w:rFonts w:hint="eastAsia"/>
          <w:b/>
          <w:bCs/>
          <w:color w:val="13859A"/>
          <w:spacing w:val="23"/>
          <w:sz w:val="24"/>
          <w:szCs w:val="28"/>
        </w:rPr>
        <w:t>项目优势</w:t>
      </w:r>
    </w:p>
    <w:p>
      <w:pPr>
        <w:rPr>
          <w:rFonts w:hint="eastAsia"/>
        </w:rPr>
      </w:pPr>
      <w:r>
        <w:rPr>
          <w:rFonts w:hint="eastAsia"/>
        </w:rPr>
        <w:t>★ 名校录取有保障，对接全球顶级名校</w:t>
      </w:r>
    </w:p>
    <w:p>
      <w:pPr>
        <w:rPr>
          <w:rFonts w:hint="eastAsia"/>
        </w:rPr>
      </w:pPr>
      <w:r>
        <w:rPr>
          <w:rFonts w:hint="eastAsia"/>
        </w:rPr>
        <w:t>和英国多所名校直接对接，达标即可进入世界百强名校，100%被国外大学录取，所有合作海外名校均在各国使馆备案。</w:t>
      </w:r>
    </w:p>
    <w:p>
      <w:pPr>
        <w:rPr>
          <w:rFonts w:hint="eastAsia"/>
        </w:rPr>
      </w:pPr>
      <w:r>
        <w:rPr>
          <w:rFonts w:hint="eastAsia"/>
        </w:rPr>
        <w:t>★ 学历认证有保障</w:t>
      </w:r>
    </w:p>
    <w:p>
      <w:pPr>
        <w:rPr>
          <w:rFonts w:hint="eastAsia"/>
        </w:rPr>
      </w:pPr>
      <w:r>
        <w:rPr>
          <w:rFonts w:hint="eastAsia"/>
        </w:rPr>
        <w:t>获得教育部认证的海外高等学历，所有院校均可在中国教育部涉外监管网查到。毕业归国后所获学士学位及硕士学位证书均可在教育部留学服务中心认证，享受留学生回国优惠政策。</w:t>
      </w:r>
    </w:p>
    <w:p>
      <w:pPr>
        <w:rPr>
          <w:rFonts w:hint="eastAsia"/>
          <w:lang w:val="en-US" w:eastAsia="zh-Hans"/>
        </w:rPr>
      </w:pPr>
      <w:r>
        <w:rPr>
          <w:rFonts w:hint="eastAsia"/>
        </w:rPr>
        <w:t>★ 预科国内读，</w:t>
      </w:r>
      <w:r>
        <w:rPr>
          <w:rFonts w:hint="eastAsia"/>
          <w:lang w:val="en-US" w:eastAsia="zh-Hans"/>
        </w:rPr>
        <w:t>降低留学风险</w:t>
      </w:r>
    </w:p>
    <w:p>
      <w:pPr>
        <w:rPr>
          <w:rFonts w:hint="eastAsia"/>
        </w:rPr>
      </w:pPr>
      <w:r>
        <w:rPr>
          <w:rFonts w:hint="eastAsia"/>
        </w:rPr>
        <w:t>学生通过西交大苏州研究院国际本硕预科项目在国内完成预科课程的学习，大大降低留学成本。中外教的授课模式的完美过度，沉浸式、过渡式的英语教学，为进入海外学习顺利毕业以及获取学位证书打好夯实基础。</w:t>
      </w:r>
    </w:p>
    <w:p>
      <w:pPr>
        <w:rPr>
          <w:rFonts w:hint="eastAsia"/>
        </w:rPr>
      </w:pPr>
      <w:r>
        <w:rPr>
          <w:rFonts w:hint="eastAsia"/>
        </w:rPr>
        <w:t>★ 国外大学教授不定期交流</w:t>
      </w:r>
    </w:p>
    <w:p>
      <w:r>
        <w:rPr>
          <w:rFonts w:hint="eastAsia"/>
        </w:rPr>
        <w:t>学院每年会不定期邀请国外大学校方代表进行讲座，让学生更加能够认知国外学习和生活的情况。组织优秀学生去国外大学进行学术交流，参加丰富多彩的游学活动。</w:t>
      </w:r>
    </w:p>
    <w:p/>
    <w:p>
      <w:pPr>
        <w:keepNext w:val="0"/>
        <w:keepLines w:val="0"/>
        <w:widowControl/>
        <w:suppressLineNumbers w:val="0"/>
        <w:jc w:val="left"/>
        <w:rPr>
          <w:b/>
          <w:bCs/>
          <w:color w:val="13859A"/>
          <w:spacing w:val="23"/>
          <w:sz w:val="24"/>
          <w:szCs w:val="28"/>
        </w:rPr>
      </w:pPr>
      <w:r>
        <w:rPr>
          <w:b/>
          <w:bCs/>
          <w:color w:val="13859A"/>
          <w:spacing w:val="23"/>
          <w:sz w:val="24"/>
          <w:szCs w:val="28"/>
          <w:lang w:val="en-US" w:eastAsia="zh-CN"/>
        </w:rPr>
        <w:t>课程内容</w:t>
      </w:r>
    </w:p>
    <w:p>
      <w:pPr>
        <w:rPr>
          <w:rFonts w:hint="eastAsia"/>
        </w:rPr>
      </w:pPr>
      <w:r>
        <w:rPr>
          <w:rFonts w:hint="eastAsia"/>
        </w:rPr>
        <w:t>学生在西交大苏州研究院学习1年预科课程，之后赴海外大学学习3年</w:t>
      </w:r>
    </w:p>
    <w:p>
      <w:pPr>
        <w:rPr>
          <w:b/>
          <w:bCs/>
          <w:color w:val="13859A"/>
          <w:spacing w:val="23"/>
          <w:sz w:val="24"/>
          <w:szCs w:val="28"/>
        </w:rPr>
      </w:pPr>
    </w:p>
    <w:tbl>
      <w:tblPr>
        <w:tblStyle w:val="3"/>
        <w:tblW w:w="5432" w:type="pct"/>
        <w:tblCellSpacing w:w="0" w:type="dxa"/>
        <w:tblInd w:w="0" w:type="dxa"/>
        <w:shd w:val="clear" w:color="auto" w:fill="auto"/>
        <w:tblLayout w:type="autofit"/>
        <w:tblCellMar>
          <w:top w:w="0" w:type="dxa"/>
          <w:left w:w="0" w:type="dxa"/>
          <w:bottom w:w="0" w:type="dxa"/>
          <w:right w:w="0" w:type="dxa"/>
        </w:tblCellMar>
      </w:tblPr>
      <w:tblGrid>
        <w:gridCol w:w="1378"/>
        <w:gridCol w:w="1144"/>
        <w:gridCol w:w="2404"/>
        <w:gridCol w:w="4135"/>
      </w:tblGrid>
      <w:tr>
        <w:tblPrEx>
          <w:shd w:val="clear" w:color="auto" w:fill="auto"/>
          <w:tblCellMar>
            <w:top w:w="0" w:type="dxa"/>
            <w:left w:w="0" w:type="dxa"/>
            <w:bottom w:w="0" w:type="dxa"/>
            <w:right w:w="0" w:type="dxa"/>
          </w:tblCellMar>
        </w:tblPrEx>
        <w:trPr>
          <w:trHeight w:val="440" w:hRule="atLeast"/>
          <w:tblCellSpacing w:w="0" w:type="dxa"/>
        </w:trPr>
        <w:tc>
          <w:tcPr>
            <w:tcW w:w="760" w:type="pct"/>
            <w:tcBorders>
              <w:top w:val="single" w:color="080000" w:sz="8" w:space="0"/>
              <w:left w:val="single" w:color="080000" w:sz="8" w:space="0"/>
              <w:bottom w:val="single" w:color="080000" w:sz="8" w:space="0"/>
              <w:right w:val="single" w:color="080000" w:sz="8" w:space="0"/>
            </w:tcBorders>
            <w:shd w:val="clear" w:color="auto" w:fill="4472C4"/>
            <w:vAlign w:val="center"/>
          </w:tcPr>
          <w:p>
            <w:pPr>
              <w:pStyle w:val="2"/>
              <w:keepNext w:val="0"/>
              <w:keepLines w:val="0"/>
              <w:widowControl/>
              <w:suppressLineNumbers w:val="0"/>
            </w:pPr>
            <w:r>
              <w:rPr>
                <w:rFonts w:ascii="微软雅黑" w:hAnsi="微软雅黑" w:eastAsia="微软雅黑" w:cs="微软雅黑"/>
                <w:b/>
                <w:color w:val="FFFFFF"/>
                <w:sz w:val="20"/>
                <w:szCs w:val="20"/>
                <w:shd w:val="clear" w:fill="4472C4"/>
              </w:rPr>
              <w:t>课程模块</w:t>
            </w:r>
          </w:p>
        </w:tc>
        <w:tc>
          <w:tcPr>
            <w:tcW w:w="631" w:type="pct"/>
            <w:tcBorders>
              <w:top w:val="single" w:color="080000" w:sz="8" w:space="0"/>
              <w:left w:val="single" w:color="080000" w:sz="8" w:space="0"/>
              <w:bottom w:val="single" w:color="080000" w:sz="8" w:space="0"/>
              <w:right w:val="single" w:color="080000" w:sz="8" w:space="0"/>
            </w:tcBorders>
            <w:shd w:val="clear" w:color="auto" w:fill="4472C4"/>
            <w:vAlign w:val="center"/>
          </w:tcPr>
          <w:p>
            <w:pPr>
              <w:pStyle w:val="2"/>
              <w:keepNext w:val="0"/>
              <w:keepLines w:val="0"/>
              <w:widowControl/>
              <w:suppressLineNumbers w:val="0"/>
            </w:pPr>
            <w:r>
              <w:rPr>
                <w:rFonts w:hint="default" w:ascii="微软雅黑" w:hAnsi="微软雅黑" w:eastAsia="微软雅黑" w:cs="微软雅黑"/>
                <w:b/>
                <w:color w:val="FFFFFF"/>
                <w:sz w:val="20"/>
                <w:szCs w:val="20"/>
                <w:shd w:val="clear" w:fill="4472C4"/>
              </w:rPr>
              <w:t>课程名称</w:t>
            </w:r>
          </w:p>
        </w:tc>
        <w:tc>
          <w:tcPr>
            <w:tcW w:w="1326" w:type="pct"/>
            <w:tcBorders>
              <w:top w:val="single" w:color="080000" w:sz="8" w:space="0"/>
              <w:left w:val="single" w:color="080000" w:sz="8" w:space="0"/>
              <w:bottom w:val="single" w:color="080000" w:sz="8" w:space="0"/>
              <w:right w:val="single" w:color="080000" w:sz="8" w:space="0"/>
            </w:tcBorders>
            <w:shd w:val="clear" w:color="auto" w:fill="4472C4"/>
            <w:vAlign w:val="center"/>
          </w:tcPr>
          <w:p>
            <w:pPr>
              <w:pStyle w:val="2"/>
              <w:keepNext w:val="0"/>
              <w:keepLines w:val="0"/>
              <w:widowControl/>
              <w:suppressLineNumbers w:val="0"/>
            </w:pPr>
            <w:r>
              <w:rPr>
                <w:rFonts w:hint="default" w:ascii="微软雅黑" w:hAnsi="微软雅黑" w:eastAsia="微软雅黑" w:cs="微软雅黑"/>
                <w:b/>
                <w:color w:val="FFFFFF"/>
                <w:sz w:val="20"/>
                <w:szCs w:val="20"/>
                <w:shd w:val="clear" w:fill="4472C4"/>
              </w:rPr>
              <w:t>课程内容</w:t>
            </w:r>
          </w:p>
        </w:tc>
        <w:tc>
          <w:tcPr>
            <w:tcW w:w="2280" w:type="pct"/>
            <w:tcBorders>
              <w:top w:val="single" w:color="080000" w:sz="8" w:space="0"/>
              <w:left w:val="single" w:color="080000" w:sz="8" w:space="0"/>
              <w:bottom w:val="single" w:color="080000" w:sz="8" w:space="0"/>
              <w:right w:val="single" w:color="080000" w:sz="8" w:space="0"/>
            </w:tcBorders>
            <w:shd w:val="clear" w:color="auto" w:fill="4472C4"/>
            <w:vAlign w:val="center"/>
          </w:tcPr>
          <w:p>
            <w:pPr>
              <w:pStyle w:val="2"/>
              <w:keepNext w:val="0"/>
              <w:keepLines w:val="0"/>
              <w:widowControl/>
              <w:suppressLineNumbers w:val="0"/>
            </w:pPr>
            <w:r>
              <w:rPr>
                <w:rFonts w:hint="default" w:ascii="微软雅黑" w:hAnsi="微软雅黑" w:eastAsia="微软雅黑" w:cs="微软雅黑"/>
                <w:b/>
                <w:color w:val="FFFFFF"/>
                <w:sz w:val="20"/>
                <w:szCs w:val="20"/>
                <w:shd w:val="clear" w:fill="4472C4"/>
              </w:rPr>
              <w:t>教学目标</w:t>
            </w:r>
          </w:p>
        </w:tc>
      </w:tr>
      <w:tr>
        <w:tblPrEx>
          <w:shd w:val="clear" w:color="auto" w:fill="auto"/>
          <w:tblCellMar>
            <w:top w:w="0" w:type="dxa"/>
            <w:left w:w="0" w:type="dxa"/>
            <w:bottom w:w="0" w:type="dxa"/>
            <w:right w:w="0" w:type="dxa"/>
          </w:tblCellMar>
        </w:tblPrEx>
        <w:trPr>
          <w:trHeight w:val="383" w:hRule="atLeast"/>
          <w:tblCellSpacing w:w="0" w:type="dxa"/>
        </w:trPr>
        <w:tc>
          <w:tcPr>
            <w:tcW w:w="760"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  语言模块</w:t>
            </w:r>
          </w:p>
        </w:tc>
        <w:tc>
          <w:tcPr>
            <w:tcW w:w="631"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  雅思课程</w:t>
            </w: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雅思听力</w:t>
            </w:r>
          </w:p>
        </w:tc>
        <w:tc>
          <w:tcPr>
            <w:tcW w:w="2280"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 在短时间内提升雅思应考能力以及英语的听说读写的综合能力，迅速达到海外顶尖大学的语言要求。</w:t>
            </w:r>
          </w:p>
        </w:tc>
      </w:tr>
      <w:tr>
        <w:tblPrEx>
          <w:shd w:val="clear" w:color="auto" w:fill="auto"/>
          <w:tblCellMar>
            <w:top w:w="0" w:type="dxa"/>
            <w:left w:w="0" w:type="dxa"/>
            <w:bottom w:w="0" w:type="dxa"/>
            <w:right w:w="0" w:type="dxa"/>
          </w:tblCellMar>
        </w:tblPrEx>
        <w:trPr>
          <w:trHeight w:val="466"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雅思口语</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雅思阅读</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雅思写作</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432"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雅思语法</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  预科课程模块</w:t>
            </w:r>
          </w:p>
        </w:tc>
        <w:tc>
          <w:tcPr>
            <w:tcW w:w="631"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   专业课程</w:t>
            </w: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微积分</w:t>
            </w:r>
          </w:p>
        </w:tc>
        <w:tc>
          <w:tcPr>
            <w:tcW w:w="2280"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提前完成国外大学的预科课程；由大学外籍教师全英文授课，跟国外大学课堂相同的授课形式和作业方式，让学生更好的做好语言、心理以及学习形式的过度；部分课程可减免部分学分，节省在国外的学习时间和费用。</w:t>
            </w: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统计学</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商务沟通</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物理</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微观经济</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人力资源</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西方人文史</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 能力提升</w:t>
            </w: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计算机应用</w:t>
            </w:r>
          </w:p>
        </w:tc>
        <w:tc>
          <w:tcPr>
            <w:tcW w:w="2280"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教会学生如何写好论文，提高理解学术类文章主旨、论述方法、写作风格等技巧。</w:t>
            </w: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学术写作</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演讲技巧</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ind w:firstLine="100" w:firstLineChars="50"/>
            </w:pPr>
            <w:r>
              <w:rPr>
                <w:rFonts w:hint="default" w:ascii="微软雅黑" w:hAnsi="微软雅黑" w:eastAsia="微软雅黑" w:cs="微软雅黑"/>
                <w:color w:val="333333"/>
                <w:sz w:val="20"/>
                <w:szCs w:val="20"/>
              </w:rPr>
              <w:t>中外教衔接模块</w:t>
            </w:r>
          </w:p>
        </w:tc>
        <w:tc>
          <w:tcPr>
            <w:tcW w:w="631"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 文化素养课程</w:t>
            </w: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西方文化/中国传统文化</w:t>
            </w:r>
          </w:p>
        </w:tc>
        <w:tc>
          <w:tcPr>
            <w:tcW w:w="2280"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了解中西文化差异、国外风俗、历史文化、生活习惯、以及思维与表达方式等。</w:t>
            </w: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射箭/骑马/攀岩/高尔夫</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 习惯培养课程</w:t>
            </w: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时间规划习惯</w:t>
            </w:r>
          </w:p>
        </w:tc>
        <w:tc>
          <w:tcPr>
            <w:tcW w:w="2280"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学会更好的自我管理，在国外没有任何人监督的情况下顺利完成学业。</w:t>
            </w:r>
          </w:p>
        </w:tc>
      </w:tr>
      <w:tr>
        <w:tblPrEx>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阅读习惯/理财习惯</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00" w:hRule="atLeast"/>
          <w:tblCellSpacing w:w="0" w:type="dxa"/>
        </w:trPr>
        <w:tc>
          <w:tcPr>
            <w:tcW w:w="760"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ind w:firstLine="100" w:firstLineChars="50"/>
            </w:pPr>
            <w:r>
              <w:rPr>
                <w:rFonts w:hint="default" w:ascii="微软雅黑" w:hAnsi="微软雅黑" w:eastAsia="微软雅黑" w:cs="微软雅黑"/>
                <w:color w:val="333333"/>
                <w:sz w:val="20"/>
                <w:szCs w:val="20"/>
              </w:rPr>
              <w:t>社会实践模块</w:t>
            </w:r>
          </w:p>
        </w:tc>
        <w:tc>
          <w:tcPr>
            <w:tcW w:w="631"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  素质拓展</w:t>
            </w: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军训活动、词汇大比拼</w:t>
            </w:r>
          </w:p>
        </w:tc>
        <w:tc>
          <w:tcPr>
            <w:tcW w:w="2280"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 综合素质、领导力和组织能力的提升。培养独立和批判性的思维方式、创新能力的提升。</w:t>
            </w:r>
          </w:p>
        </w:tc>
      </w:tr>
      <w:tr>
        <w:tblPrEx>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英语演讲比赛</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2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万圣节、寝室文化节等活动</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restar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 社会实践活动</w:t>
            </w: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科考实践、社会义工</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00" w:hRule="atLeast"/>
          <w:tblCellSpacing w:w="0" w:type="dxa"/>
        </w:trPr>
        <w:tc>
          <w:tcPr>
            <w:tcW w:w="76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631"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c>
          <w:tcPr>
            <w:tcW w:w="1326" w:type="pct"/>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pStyle w:val="2"/>
              <w:keepNext w:val="0"/>
              <w:keepLines w:val="0"/>
              <w:widowControl/>
              <w:suppressLineNumbers w:val="0"/>
            </w:pPr>
            <w:r>
              <w:rPr>
                <w:rFonts w:hint="default" w:ascii="微软雅黑" w:hAnsi="微软雅黑" w:eastAsia="微软雅黑" w:cs="微软雅黑"/>
                <w:color w:val="333333"/>
                <w:sz w:val="20"/>
                <w:szCs w:val="20"/>
              </w:rPr>
              <w:t>保护大自然活动</w:t>
            </w:r>
          </w:p>
        </w:tc>
        <w:tc>
          <w:tcPr>
            <w:tcW w:w="2280" w:type="pct"/>
            <w:vMerge w:val="continue"/>
            <w:tcBorders>
              <w:top w:val="single" w:color="080000" w:sz="8" w:space="0"/>
              <w:left w:val="single" w:color="080000" w:sz="8" w:space="0"/>
              <w:bottom w:val="single" w:color="080000" w:sz="8" w:space="0"/>
              <w:right w:val="single" w:color="080000" w:sz="8" w:space="0"/>
            </w:tcBorders>
            <w:shd w:val="clear" w:color="auto" w:fill="auto"/>
            <w:tcMar>
              <w:bottom w:w="75" w:type="dxa"/>
            </w:tcMar>
            <w:vAlign w:val="center"/>
          </w:tcPr>
          <w:p>
            <w:pPr>
              <w:rPr>
                <w:rFonts w:hint="eastAsia" w:ascii="宋体"/>
                <w:sz w:val="24"/>
                <w:szCs w:val="24"/>
              </w:rPr>
            </w:pPr>
          </w:p>
        </w:tc>
      </w:tr>
    </w:tbl>
    <w:p>
      <w:pPr>
        <w:rPr>
          <w:b/>
          <w:bCs/>
          <w:color w:val="13859A"/>
          <w:spacing w:val="23"/>
          <w:sz w:val="24"/>
          <w:szCs w:val="28"/>
        </w:rPr>
      </w:pPr>
    </w:p>
    <w:p>
      <w:pPr>
        <w:rPr>
          <w:rFonts w:hint="eastAsia"/>
          <w:b/>
          <w:bCs/>
          <w:color w:val="13859A"/>
          <w:spacing w:val="23"/>
          <w:sz w:val="24"/>
          <w:szCs w:val="28"/>
          <w:lang w:val="en-US" w:eastAsia="zh-Hans"/>
        </w:rPr>
      </w:pPr>
      <w:r>
        <w:rPr>
          <w:rFonts w:hint="eastAsia"/>
          <w:b/>
          <w:bCs/>
          <w:color w:val="13859A"/>
          <w:spacing w:val="23"/>
          <w:sz w:val="24"/>
          <w:szCs w:val="28"/>
          <w:lang w:val="en-US" w:eastAsia="zh-Hans"/>
        </w:rPr>
        <w:t>对接学校</w:t>
      </w:r>
    </w:p>
    <w:p>
      <w:pPr>
        <w:rPr>
          <w:b/>
          <w:bCs/>
          <w:color w:val="13859A"/>
          <w:spacing w:val="23"/>
          <w:sz w:val="24"/>
          <w:szCs w:val="28"/>
        </w:rPr>
      </w:pPr>
      <w:r>
        <w:drawing>
          <wp:inline distT="0" distB="0" distL="114300" distR="114300">
            <wp:extent cx="5975350" cy="2239010"/>
            <wp:effectExtent l="0" t="0" r="19050" b="2159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5"/>
                    <a:srcRect b="42986"/>
                    <a:stretch>
                      <a:fillRect/>
                    </a:stretch>
                  </pic:blipFill>
                  <pic:spPr>
                    <a:xfrm>
                      <a:off x="0" y="0"/>
                      <a:ext cx="5975350" cy="2239010"/>
                    </a:xfrm>
                    <a:prstGeom prst="rect">
                      <a:avLst/>
                    </a:prstGeom>
                    <a:noFill/>
                    <a:ln w="9525">
                      <a:noFill/>
                    </a:ln>
                  </pic:spPr>
                </pic:pic>
              </a:graphicData>
            </a:graphic>
          </wp:inline>
        </w:drawing>
      </w:r>
    </w:p>
    <w:p>
      <w:pPr>
        <w:rPr>
          <w:b/>
          <w:bCs/>
          <w:color w:val="13859A"/>
          <w:spacing w:val="23"/>
          <w:sz w:val="24"/>
          <w:szCs w:val="28"/>
        </w:rPr>
      </w:pPr>
    </w:p>
    <w:p>
      <w:pPr>
        <w:rPr>
          <w:b/>
          <w:bCs/>
          <w:color w:val="13859A"/>
          <w:spacing w:val="23"/>
          <w:sz w:val="24"/>
          <w:szCs w:val="28"/>
        </w:rPr>
      </w:pPr>
      <w:r>
        <w:rPr>
          <w:b/>
          <w:bCs/>
          <w:color w:val="13859A"/>
          <w:spacing w:val="23"/>
          <w:sz w:val="24"/>
          <w:szCs w:val="28"/>
        </w:rPr>
        <w:t>招生细则</w:t>
      </w:r>
    </w:p>
    <w:p>
      <w:pPr>
        <w:rPr>
          <w:rFonts w:hint="eastAsia"/>
        </w:rPr>
      </w:pPr>
      <w:r>
        <w:rPr>
          <w:rFonts w:hint="eastAsia"/>
        </w:rPr>
        <w:t xml:space="preserve">招生对象： </w:t>
      </w:r>
    </w:p>
    <w:p>
      <w:pPr>
        <w:rPr>
          <w:rFonts w:hint="eastAsia"/>
        </w:rPr>
      </w:pPr>
      <w:r>
        <w:rPr>
          <w:rFonts w:hint="eastAsia"/>
        </w:rPr>
        <w:t>1.应往届高中毕业生、同等学历及以上学生;</w:t>
      </w:r>
    </w:p>
    <w:p>
      <w:pPr>
        <w:rPr>
          <w:rFonts w:hint="eastAsia"/>
        </w:rPr>
      </w:pPr>
      <w:r>
        <w:rPr>
          <w:rFonts w:hint="eastAsia"/>
        </w:rPr>
        <w:t>2.高二在读学生(留学时必须能提供高中毕业证)</w:t>
      </w:r>
    </w:p>
    <w:p>
      <w:pPr>
        <w:rPr>
          <w:rFonts w:hint="eastAsia"/>
        </w:rPr>
      </w:pPr>
      <w:r>
        <w:rPr>
          <w:rFonts w:hint="eastAsia"/>
        </w:rPr>
        <w:t>3.三年制专科毕业生、本科毕业生或大四在读学生</w:t>
      </w:r>
    </w:p>
    <w:p>
      <w:r>
        <w:t>录取原则：（三选一）</w:t>
      </w:r>
    </w:p>
    <w:p>
      <w:r>
        <w:t>1、高考总分达到本科分数线以上或高考英语成绩110分（满分150）以上；</w:t>
      </w:r>
    </w:p>
    <w:p>
      <w:pPr>
        <w:rPr>
          <w:rFonts w:hint="eastAsia"/>
        </w:rPr>
      </w:pPr>
      <w:r>
        <w:t>2、</w:t>
      </w:r>
      <w:r>
        <w:rPr>
          <w:rFonts w:hint="eastAsia"/>
        </w:rPr>
        <w:t>雅思5.0及以上或托福65分以上</w:t>
      </w:r>
    </w:p>
    <w:p>
      <w:r>
        <w:t>3、参加西安交大苏州研究院组织的</w:t>
      </w:r>
      <w:r>
        <w:rPr>
          <w:rFonts w:hint="eastAsia"/>
          <w:lang w:val="en-US" w:eastAsia="zh-Hans"/>
        </w:rPr>
        <w:t>笔试</w:t>
      </w:r>
      <w:r>
        <w:t>+面试并通过。</w:t>
      </w:r>
    </w:p>
    <w:p>
      <w:pPr>
        <w:widowControl/>
        <w:jc w:val="left"/>
        <w:rPr>
          <w:rFonts w:ascii="宋体" w:hAnsi="宋体" w:eastAsia="宋体" w:cs="宋体"/>
          <w:kern w:val="0"/>
          <w:sz w:val="24"/>
        </w:rPr>
      </w:pPr>
    </w:p>
    <w:p>
      <w:r>
        <w:t>收费标准</w:t>
      </w:r>
    </w:p>
    <w:p>
      <w:r>
        <w:rPr>
          <w:rFonts w:hint="eastAsia"/>
          <w:lang w:val="en-US" w:eastAsia="zh-Hans"/>
        </w:rPr>
        <w:t>学费</w:t>
      </w:r>
      <w:r>
        <w:t>：59800元</w:t>
      </w:r>
    </w:p>
    <w:p>
      <w:pPr>
        <w:rPr>
          <w:rFonts w:hint="eastAsia"/>
          <w:lang w:val="en-US" w:eastAsia="zh-Hans"/>
        </w:rPr>
      </w:pPr>
      <w:r>
        <w:rPr>
          <w:rFonts w:hint="eastAsia"/>
          <w:lang w:val="en-US" w:eastAsia="zh-Hans"/>
        </w:rPr>
        <w:t>课程管理费</w:t>
      </w:r>
      <w:r>
        <w:rPr>
          <w:rFonts w:hint="default"/>
          <w:lang w:eastAsia="zh-Hans"/>
        </w:rPr>
        <w:t>：13800</w:t>
      </w:r>
      <w:r>
        <w:rPr>
          <w:rFonts w:hint="eastAsia"/>
          <w:lang w:val="en-US" w:eastAsia="zh-Hans"/>
        </w:rPr>
        <w:t>元</w:t>
      </w:r>
    </w:p>
    <w:p>
      <w:pPr>
        <w:rPr>
          <w:rFonts w:hint="default"/>
          <w:lang w:val="en-US" w:eastAsia="zh-Hans"/>
        </w:rPr>
      </w:pPr>
      <w:r>
        <w:rPr>
          <w:rFonts w:hint="eastAsia"/>
          <w:lang w:val="en-US" w:eastAsia="zh-Hans"/>
        </w:rPr>
        <w:t>留学服务费</w:t>
      </w:r>
      <w:r>
        <w:rPr>
          <w:rFonts w:hint="default"/>
          <w:lang w:eastAsia="zh-Hans"/>
        </w:rPr>
        <w:t>：12000</w:t>
      </w:r>
      <w:r>
        <w:rPr>
          <w:rFonts w:hint="eastAsia"/>
          <w:lang w:val="en-US" w:eastAsia="zh-Hans"/>
        </w:rPr>
        <w:t>元</w:t>
      </w:r>
    </w:p>
    <w:p>
      <w:r>
        <w:t>住宿费：人民币9000元/学年（根据实际发生收取）</w:t>
      </w:r>
    </w:p>
    <w:p>
      <w:pPr>
        <w:rPr>
          <w:rFonts w:hint="eastAsia"/>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23"/>
    <w:rsid w:val="00161D23"/>
    <w:rsid w:val="00426BEC"/>
    <w:rsid w:val="005D58D5"/>
    <w:rsid w:val="006F07FE"/>
    <w:rsid w:val="00716617"/>
    <w:rsid w:val="00736150"/>
    <w:rsid w:val="00856117"/>
    <w:rsid w:val="009A6CBF"/>
    <w:rsid w:val="00BE2BFB"/>
    <w:rsid w:val="00BE4C49"/>
    <w:rsid w:val="00CA5FE5"/>
    <w:rsid w:val="00CC3766"/>
    <w:rsid w:val="056C697D"/>
    <w:rsid w:val="5B3B5ED2"/>
    <w:rsid w:val="793F795E"/>
    <w:rsid w:val="B7D34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465</Words>
  <Characters>2655</Characters>
  <Lines>22</Lines>
  <Paragraphs>6</Paragraphs>
  <TotalTime>2</TotalTime>
  <ScaleCrop>false</ScaleCrop>
  <LinksUpToDate>false</LinksUpToDate>
  <CharactersWithSpaces>3114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2022-03-04T02:25:00Z</dcterms:created>
  <dc:creator>Microsoft Office 用户</dc:creator>
  <cp:lastModifiedBy>冰冰⊙▽⊙＊</cp:lastModifiedBy>
  <dcterms:modified xsi:type="dcterms:W3CDTF">2022-03-04T09:20:07Z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F9ACD7445FC04C89AFA4E4944FF81454</vt:lpwstr>
  </property>
</Properties>
</file>