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98" w:rsidRPr="00351B98" w:rsidRDefault="00351B98" w:rsidP="00351B98">
      <w:pPr>
        <w:widowControl/>
        <w:shd w:val="clear" w:color="auto" w:fill="FCFAFB"/>
        <w:jc w:val="center"/>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36"/>
        </w:rPr>
        <w:t>美国名校直通车课程招生简章</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课程介绍</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p>
    <w:p w:rsidR="00351B98" w:rsidRPr="00351B98" w:rsidRDefault="00351B98" w:rsidP="00351B98">
      <w:pPr>
        <w:widowControl/>
        <w:shd w:val="clear" w:color="auto" w:fill="FCFAFB"/>
        <w:ind w:firstLine="405"/>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由上外国际教育中心研发，国外知名大学认可，结合国外大学课程特点，为准备到美国大学攻读本科课程的中国学生量身定制的一年制国际预科课程，对接经中国教育部认证的知名大学。</w:t>
      </w:r>
    </w:p>
    <w:p w:rsidR="00351B98" w:rsidRPr="00351B98" w:rsidRDefault="00351B98" w:rsidP="00351B98">
      <w:pPr>
        <w:widowControl/>
        <w:shd w:val="clear" w:color="auto" w:fill="FCFAFB"/>
        <w:ind w:firstLine="405"/>
        <w:rPr>
          <w:rFonts w:ascii="Verdana" w:eastAsia="宋体" w:hAnsi="Verdana" w:cs="宋体"/>
          <w:color w:val="505050"/>
          <w:kern w:val="0"/>
          <w:sz w:val="18"/>
          <w:szCs w:val="18"/>
        </w:rPr>
      </w:pPr>
    </w:p>
    <w:p w:rsidR="00351B98" w:rsidRPr="00351B98" w:rsidRDefault="00351B98" w:rsidP="00351B98">
      <w:pPr>
        <w:widowControl/>
        <w:shd w:val="clear" w:color="auto" w:fill="FCFAFB"/>
        <w:ind w:firstLine="405"/>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旨在为中国学生创建真实、原汁原味的西方教育环境，帮助学生快速掌握国外大学学习方法，提前适应国外生活，缩短国外留学适应周期，保证学生平稳过渡，同时能在一定程度上具备国外大学专业学习所需的语言能力、专业知识及学习技巧，并帮助学生在海外名校申请、学术、心理、学习能力及自我职业规划发展等方面做好各项准备，使其顺进入自己理想的大学，并顺利完成学业。</w:t>
      </w:r>
    </w:p>
    <w:p w:rsidR="00351B98" w:rsidRPr="00351B98" w:rsidRDefault="00351B98" w:rsidP="00351B98">
      <w:pPr>
        <w:widowControl/>
        <w:shd w:val="clear" w:color="auto" w:fill="FCFAFB"/>
        <w:ind w:firstLine="405"/>
        <w:rPr>
          <w:rFonts w:ascii="Verdana" w:eastAsia="宋体" w:hAnsi="Verdana" w:cs="宋体"/>
          <w:color w:val="505050"/>
          <w:kern w:val="0"/>
          <w:sz w:val="18"/>
          <w:szCs w:val="18"/>
        </w:rPr>
      </w:pPr>
    </w:p>
    <w:p w:rsidR="00351B98" w:rsidRPr="00351B98" w:rsidRDefault="00351B98" w:rsidP="00351B98">
      <w:pPr>
        <w:widowControl/>
        <w:shd w:val="clear" w:color="auto" w:fill="FCFAFB"/>
        <w:ind w:firstLine="480"/>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我们的预科课程得到了美国众多知名大学的肯定，学生毕业合格后将被至少一所大学优先录取，是目前国内比较便捷的海外名校留学预备课程。学生以优异的成绩受到海外大学的充分肯定。优质的师资力量、严谨的教学和管理体系也得到了学生和家长的普遍好评。</w:t>
      </w:r>
    </w:p>
    <w:p w:rsidR="00351B98" w:rsidRPr="00351B98" w:rsidRDefault="00351B98" w:rsidP="00351B98">
      <w:pPr>
        <w:widowControl/>
        <w:shd w:val="clear" w:color="auto" w:fill="FCFAFB"/>
        <w:ind w:firstLine="480"/>
        <w:rPr>
          <w:rFonts w:ascii="Verdana" w:eastAsia="宋体" w:hAnsi="Verdana" w:cs="宋体"/>
          <w:color w:val="505050"/>
          <w:kern w:val="0"/>
          <w:sz w:val="18"/>
          <w:szCs w:val="18"/>
        </w:rPr>
      </w:pPr>
    </w:p>
    <w:p w:rsidR="00351B98" w:rsidRPr="00351B98" w:rsidRDefault="00351B98" w:rsidP="00351B98">
      <w:pPr>
        <w:widowControl/>
        <w:shd w:val="clear" w:color="auto" w:fill="FCFAFB"/>
        <w:ind w:firstLine="405"/>
        <w:jc w:val="center"/>
        <w:rPr>
          <w:rFonts w:ascii="Verdana" w:eastAsia="宋体" w:hAnsi="Verdana" w:cs="宋体"/>
          <w:color w:val="505050"/>
          <w:kern w:val="0"/>
          <w:sz w:val="18"/>
          <w:szCs w:val="18"/>
        </w:rPr>
      </w:pPr>
      <w:r>
        <w:rPr>
          <w:rFonts w:ascii="微软雅黑" w:eastAsia="微软雅黑" w:hAnsi="微软雅黑" w:cs="宋体"/>
          <w:noProof/>
          <w:color w:val="666666"/>
          <w:kern w:val="0"/>
          <w:sz w:val="24"/>
          <w:szCs w:val="24"/>
        </w:rPr>
        <w:lastRenderedPageBreak/>
        <w:drawing>
          <wp:inline distT="0" distB="0" distL="0" distR="0">
            <wp:extent cx="6096000" cy="4067175"/>
            <wp:effectExtent l="19050" t="0" r="0" b="0"/>
            <wp:docPr id="1" name="图片 1" descr="http://www.sisuedu.cn/kindeditor/attached/image/20171222/20171222101313_453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suedu.cn/kindeditor/attached/image/20171222/20171222101313_45384.jpeg"/>
                    <pic:cNvPicPr>
                      <a:picLocks noChangeAspect="1" noChangeArrowheads="1"/>
                    </pic:cNvPicPr>
                  </pic:nvPicPr>
                  <pic:blipFill>
                    <a:blip r:embed="rId5"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r w:rsidRPr="00351B98">
        <w:rPr>
          <w:rFonts w:ascii="微软雅黑" w:eastAsia="微软雅黑" w:hAnsi="微软雅黑" w:cs="宋体" w:hint="eastAsia"/>
          <w:color w:val="666666"/>
          <w:kern w:val="0"/>
          <w:sz w:val="24"/>
          <w:szCs w:val="24"/>
        </w:rPr>
        <w:t> </w:t>
      </w:r>
    </w:p>
    <w:p w:rsidR="00351B98" w:rsidRPr="00351B98" w:rsidRDefault="00351B98" w:rsidP="00351B98">
      <w:pPr>
        <w:widowControl/>
        <w:shd w:val="clear" w:color="auto" w:fill="FCFAFB"/>
        <w:ind w:firstLine="405"/>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 </w:t>
      </w:r>
    </w:p>
    <w:p w:rsidR="00351B98" w:rsidRPr="00351B98" w:rsidRDefault="00351B98" w:rsidP="00351B98">
      <w:pPr>
        <w:widowControl/>
        <w:shd w:val="clear" w:color="auto" w:fill="FCFAFB"/>
        <w:jc w:val="center"/>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 </w:t>
      </w:r>
    </w:p>
    <w:p w:rsidR="00351B98" w:rsidRPr="00351B98" w:rsidRDefault="00351B98" w:rsidP="00351B98">
      <w:pPr>
        <w:widowControl/>
        <w:shd w:val="clear" w:color="auto" w:fill="FCFAFB"/>
        <w:spacing w:line="315" w:lineRule="atLeast"/>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学习规划</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上外国际教育中心1年 + 美国大学3-4年本科</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开设班级</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美国实验班----冲刺美国TOP50大学    （托福+SAT）</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美国精英班----冲刺美国TOP80大学</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   </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招生对象</w:t>
      </w:r>
    </w:p>
    <w:p w:rsidR="00351B98" w:rsidRPr="00351B98" w:rsidRDefault="00351B98" w:rsidP="00351B98">
      <w:pPr>
        <w:widowControl/>
        <w:shd w:val="clear" w:color="auto" w:fill="FCFAFB"/>
        <w:ind w:left="360" w:hanging="360"/>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1、 高中毕业生；</w:t>
      </w:r>
    </w:p>
    <w:p w:rsidR="00351B98" w:rsidRPr="00351B98" w:rsidRDefault="00351B98" w:rsidP="00351B98">
      <w:pPr>
        <w:widowControl/>
        <w:shd w:val="clear" w:color="auto" w:fill="FCFAFB"/>
        <w:ind w:left="360" w:hanging="360"/>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lastRenderedPageBreak/>
        <w:t>2、 完成高二或高三在读学生，留学时可提供高中毕业证；</w:t>
      </w:r>
    </w:p>
    <w:p w:rsidR="00351B98" w:rsidRPr="00351B98" w:rsidRDefault="00351B98" w:rsidP="00351B98">
      <w:pPr>
        <w:widowControl/>
        <w:shd w:val="clear" w:color="auto" w:fill="FCFAFB"/>
        <w:ind w:left="360" w:hanging="360"/>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3、 大一在读学生 。</w:t>
      </w:r>
    </w:p>
    <w:p w:rsidR="00351B98" w:rsidRPr="00351B98" w:rsidRDefault="00351B98" w:rsidP="00351B98">
      <w:pPr>
        <w:widowControl/>
        <w:shd w:val="clear" w:color="auto" w:fill="FCFAFB"/>
        <w:ind w:left="360" w:hanging="360"/>
        <w:jc w:val="left"/>
        <w:rPr>
          <w:rFonts w:ascii="Verdana" w:eastAsia="宋体" w:hAnsi="Verdana" w:cs="宋体"/>
          <w:color w:val="505050"/>
          <w:kern w:val="0"/>
          <w:sz w:val="18"/>
          <w:szCs w:val="18"/>
        </w:rPr>
      </w:pP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录取标准</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美国实验班：高考英语成绩80%以上（或雅思5.5或托福70分以上）</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美国精英班：高考英语成绩60%以上（或雅思5或托福60分以上）</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备注：未达到以上录取要求者，须参加我中心组织的入学考试，择优录取。</w:t>
      </w:r>
    </w:p>
    <w:p w:rsidR="00137A51" w:rsidRDefault="00351B98" w:rsidP="00137A51">
      <w:pPr>
        <w:widowControl/>
        <w:shd w:val="clear" w:color="auto" w:fill="FCFAFB"/>
        <w:jc w:val="left"/>
        <w:rPr>
          <w:rFonts w:ascii="微软雅黑" w:eastAsia="微软雅黑" w:hAnsi="微软雅黑" w:cs="宋体" w:hint="eastAsia"/>
          <w:b/>
          <w:bCs/>
          <w:color w:val="505050"/>
          <w:kern w:val="0"/>
          <w:sz w:val="24"/>
          <w:szCs w:val="24"/>
        </w:rPr>
      </w:pPr>
      <w:r w:rsidRPr="00351B98">
        <w:rPr>
          <w:rFonts w:ascii="微软雅黑" w:eastAsia="微软雅黑" w:hAnsi="微软雅黑" w:cs="宋体" w:hint="eastAsia"/>
          <w:b/>
          <w:bCs/>
          <w:color w:val="666666"/>
          <w:kern w:val="0"/>
          <w:sz w:val="24"/>
          <w:szCs w:val="24"/>
        </w:rPr>
        <w:t> </w:t>
      </w:r>
      <w:r w:rsidR="00137A51">
        <w:rPr>
          <w:rFonts w:ascii="微软雅黑" w:eastAsia="微软雅黑" w:hAnsi="微软雅黑" w:cs="宋体" w:hint="eastAsia"/>
          <w:b/>
          <w:bCs/>
          <w:color w:val="505050"/>
          <w:kern w:val="0"/>
          <w:sz w:val="24"/>
          <w:szCs w:val="24"/>
        </w:rPr>
        <w:t>收费标准</w:t>
      </w:r>
    </w:p>
    <w:p w:rsidR="00137A51" w:rsidRDefault="00137A51" w:rsidP="00137A51">
      <w:pPr>
        <w:pStyle w:val="a7"/>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Pr>
          <w:rFonts w:ascii="微软雅黑" w:eastAsia="微软雅黑" w:hAnsi="微软雅黑" w:cs="宋体" w:hint="eastAsia"/>
          <w:color w:val="505050"/>
          <w:kern w:val="0"/>
          <w:sz w:val="24"/>
          <w:szCs w:val="24"/>
        </w:rPr>
        <w:t>美</w:t>
      </w:r>
      <w:r w:rsidRPr="00F549A6">
        <w:rPr>
          <w:rFonts w:ascii="微软雅黑" w:eastAsia="微软雅黑" w:hAnsi="微软雅黑" w:cs="宋体" w:hint="eastAsia"/>
          <w:color w:val="505050"/>
          <w:kern w:val="0"/>
          <w:sz w:val="24"/>
          <w:szCs w:val="24"/>
        </w:rPr>
        <w:t>国本科预科实验班，</w:t>
      </w:r>
      <w:r w:rsidR="00BE302E">
        <w:rPr>
          <w:rFonts w:ascii="微软雅黑" w:eastAsia="微软雅黑" w:hAnsi="微软雅黑" w:cs="宋体" w:hint="eastAsia"/>
          <w:color w:val="505050"/>
          <w:kern w:val="0"/>
          <w:sz w:val="24"/>
          <w:szCs w:val="24"/>
        </w:rPr>
        <w:t>7月入学，</w:t>
      </w:r>
      <w:r w:rsidRPr="00F549A6">
        <w:rPr>
          <w:rFonts w:ascii="微软雅黑" w:eastAsia="微软雅黑" w:hAnsi="微软雅黑" w:cs="宋体" w:hint="eastAsia"/>
          <w:color w:val="505050"/>
          <w:kern w:val="0"/>
          <w:sz w:val="24"/>
          <w:szCs w:val="24"/>
        </w:rPr>
        <w:t>学费</w:t>
      </w:r>
      <w:r>
        <w:rPr>
          <w:rFonts w:ascii="微软雅黑" w:eastAsia="微软雅黑" w:hAnsi="微软雅黑" w:cs="宋体" w:hint="eastAsia"/>
          <w:color w:val="505050"/>
          <w:kern w:val="0"/>
          <w:sz w:val="24"/>
          <w:szCs w:val="24"/>
        </w:rPr>
        <w:t>102000</w:t>
      </w:r>
      <w:r w:rsidRPr="00F549A6">
        <w:rPr>
          <w:rFonts w:ascii="微软雅黑" w:eastAsia="微软雅黑" w:hAnsi="微软雅黑" w:cs="宋体" w:hint="eastAsia"/>
          <w:color w:val="505050"/>
          <w:kern w:val="0"/>
          <w:sz w:val="24"/>
          <w:szCs w:val="24"/>
        </w:rPr>
        <w:t>/年</w:t>
      </w:r>
    </w:p>
    <w:p w:rsidR="00137A51" w:rsidRDefault="00137A51" w:rsidP="00137A51">
      <w:pPr>
        <w:pStyle w:val="a7"/>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Pr>
          <w:rFonts w:ascii="微软雅黑" w:eastAsia="微软雅黑" w:hAnsi="微软雅黑" w:cs="宋体" w:hint="eastAsia"/>
          <w:color w:val="505050"/>
          <w:kern w:val="0"/>
          <w:sz w:val="24"/>
          <w:szCs w:val="24"/>
        </w:rPr>
        <w:t>美</w:t>
      </w:r>
      <w:r w:rsidRPr="00F549A6">
        <w:rPr>
          <w:rFonts w:ascii="微软雅黑" w:eastAsia="微软雅黑" w:hAnsi="微软雅黑" w:cs="宋体" w:hint="eastAsia"/>
          <w:color w:val="505050"/>
          <w:kern w:val="0"/>
          <w:sz w:val="24"/>
          <w:szCs w:val="24"/>
        </w:rPr>
        <w:t>国本科预科精英班</w:t>
      </w:r>
      <w:r>
        <w:rPr>
          <w:rFonts w:ascii="微软雅黑" w:eastAsia="微软雅黑" w:hAnsi="微软雅黑" w:cs="宋体" w:hint="eastAsia"/>
          <w:color w:val="505050"/>
          <w:kern w:val="0"/>
          <w:sz w:val="24"/>
          <w:szCs w:val="24"/>
        </w:rPr>
        <w:t>，</w:t>
      </w:r>
      <w:r w:rsidR="00BE302E">
        <w:rPr>
          <w:rFonts w:ascii="微软雅黑" w:eastAsia="微软雅黑" w:hAnsi="微软雅黑" w:cs="宋体" w:hint="eastAsia"/>
          <w:color w:val="505050"/>
          <w:kern w:val="0"/>
          <w:sz w:val="24"/>
          <w:szCs w:val="24"/>
        </w:rPr>
        <w:t>9月入学，</w:t>
      </w:r>
      <w:r w:rsidRPr="00F549A6">
        <w:rPr>
          <w:rFonts w:ascii="微软雅黑" w:eastAsia="微软雅黑" w:hAnsi="微软雅黑" w:cs="宋体" w:hint="eastAsia"/>
          <w:color w:val="505050"/>
          <w:kern w:val="0"/>
          <w:sz w:val="24"/>
          <w:szCs w:val="24"/>
        </w:rPr>
        <w:t>学费</w:t>
      </w:r>
      <w:r>
        <w:rPr>
          <w:rFonts w:ascii="微软雅黑" w:eastAsia="微软雅黑" w:hAnsi="微软雅黑" w:cs="宋体" w:hint="eastAsia"/>
          <w:color w:val="505050"/>
          <w:kern w:val="0"/>
          <w:sz w:val="24"/>
          <w:szCs w:val="24"/>
        </w:rPr>
        <w:t>92000/年</w:t>
      </w:r>
    </w:p>
    <w:p w:rsidR="00BE302E" w:rsidRPr="00BE302E" w:rsidRDefault="00BE302E" w:rsidP="00BE302E">
      <w:pPr>
        <w:pStyle w:val="a7"/>
        <w:widowControl/>
        <w:numPr>
          <w:ilvl w:val="0"/>
          <w:numId w:val="1"/>
        </w:numPr>
        <w:shd w:val="clear" w:color="auto" w:fill="FCFAFB"/>
        <w:ind w:firstLineChars="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春季班1.5年，3月入学，学费132000/年</w:t>
      </w:r>
    </w:p>
    <w:p w:rsidR="00137A51" w:rsidRPr="005D1F7C" w:rsidRDefault="00137A51" w:rsidP="00137A51">
      <w:pPr>
        <w:pStyle w:val="a7"/>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sidRPr="005D1F7C">
        <w:rPr>
          <w:rFonts w:ascii="微软雅黑" w:eastAsia="微软雅黑" w:hAnsi="微软雅黑" w:cs="宋体" w:hint="eastAsia"/>
          <w:color w:val="505050"/>
          <w:kern w:val="0"/>
          <w:sz w:val="24"/>
          <w:szCs w:val="24"/>
        </w:rPr>
        <w:t>报名费300元（不退）</w:t>
      </w:r>
    </w:p>
    <w:p w:rsidR="00137A51" w:rsidRPr="005D1F7C" w:rsidRDefault="00137A51" w:rsidP="00137A51">
      <w:pPr>
        <w:pStyle w:val="a7"/>
        <w:widowControl/>
        <w:numPr>
          <w:ilvl w:val="0"/>
          <w:numId w:val="1"/>
        </w:numPr>
        <w:shd w:val="clear" w:color="auto" w:fill="FCFAFB"/>
        <w:ind w:firstLineChars="0"/>
        <w:jc w:val="left"/>
        <w:rPr>
          <w:rFonts w:ascii="Verdana" w:eastAsia="宋体" w:hAnsi="Verdana" w:cs="宋体" w:hint="eastAsia"/>
          <w:color w:val="505050"/>
          <w:kern w:val="0"/>
          <w:sz w:val="18"/>
          <w:szCs w:val="18"/>
        </w:rPr>
      </w:pPr>
      <w:r w:rsidRPr="005D1F7C">
        <w:rPr>
          <w:rFonts w:ascii="微软雅黑" w:eastAsia="微软雅黑" w:hAnsi="微软雅黑" w:cs="宋体" w:hint="eastAsia"/>
          <w:color w:val="505050"/>
          <w:kern w:val="0"/>
          <w:sz w:val="24"/>
          <w:szCs w:val="24"/>
        </w:rPr>
        <w:t>留学服务费，美国/加拿大方向16000元，其它国家和地区8000元（提供3-5所国外大学咨询规则及申请指导）</w:t>
      </w:r>
    </w:p>
    <w:p w:rsidR="00137A51" w:rsidRPr="00F549A6" w:rsidRDefault="00137A51" w:rsidP="00137A51">
      <w:pPr>
        <w:pStyle w:val="a7"/>
        <w:widowControl/>
        <w:numPr>
          <w:ilvl w:val="0"/>
          <w:numId w:val="1"/>
        </w:numPr>
        <w:shd w:val="clear" w:color="auto" w:fill="FCFAFB"/>
        <w:ind w:firstLineChars="0"/>
        <w:jc w:val="left"/>
        <w:rPr>
          <w:rFonts w:ascii="Verdana" w:eastAsia="宋体" w:hAnsi="Verdana" w:cs="宋体" w:hint="eastAsia"/>
          <w:color w:val="505050"/>
          <w:kern w:val="0"/>
          <w:sz w:val="18"/>
          <w:szCs w:val="18"/>
        </w:rPr>
      </w:pPr>
      <w:r w:rsidRPr="005D1F7C">
        <w:rPr>
          <w:rFonts w:ascii="微软雅黑" w:eastAsia="微软雅黑" w:hAnsi="微软雅黑" w:cs="宋体" w:hint="eastAsia"/>
          <w:color w:val="505050"/>
          <w:kern w:val="0"/>
          <w:sz w:val="24"/>
          <w:szCs w:val="24"/>
        </w:rPr>
        <w:t>不含教材、资料、住宿及第三方费用 </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报名方法</w:t>
      </w:r>
    </w:p>
    <w:p w:rsidR="00137A51" w:rsidRPr="00351B98" w:rsidRDefault="00137A51" w:rsidP="00137A51">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505050"/>
          <w:kern w:val="0"/>
          <w:sz w:val="24"/>
          <w:szCs w:val="24"/>
        </w:rPr>
        <w:t>咨询电话 </w:t>
      </w:r>
      <w:r>
        <w:rPr>
          <w:rFonts w:ascii="微软雅黑" w:eastAsia="微软雅黑" w:hAnsi="微软雅黑" w:cs="宋体" w:hint="eastAsia"/>
          <w:b/>
          <w:bCs/>
          <w:color w:val="505050"/>
          <w:kern w:val="0"/>
          <w:sz w:val="24"/>
          <w:szCs w:val="24"/>
        </w:rPr>
        <w:t>400-061-6586</w:t>
      </w:r>
    </w:p>
    <w:p w:rsidR="00351B98" w:rsidRPr="00351B98" w:rsidRDefault="00351B98" w:rsidP="00351B98">
      <w:pPr>
        <w:widowControl/>
        <w:shd w:val="clear" w:color="auto" w:fill="FCFAFB"/>
        <w:ind w:firstLine="480"/>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 </w:t>
      </w:r>
    </w:p>
    <w:p w:rsidR="00351B98" w:rsidRPr="00351B98" w:rsidRDefault="00351B98" w:rsidP="00351B98">
      <w:pPr>
        <w:widowControl/>
        <w:shd w:val="clear" w:color="auto" w:fill="FCFAFB"/>
        <w:ind w:left="360" w:hanging="360"/>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505050"/>
          <w:kern w:val="0"/>
          <w:sz w:val="24"/>
          <w:szCs w:val="24"/>
        </w:rPr>
        <w:t>授予证明</w:t>
      </w:r>
    </w:p>
    <w:p w:rsidR="00351B98" w:rsidRPr="00351B98" w:rsidRDefault="00351B98" w:rsidP="00351B98">
      <w:pPr>
        <w:widowControl/>
        <w:shd w:val="clear" w:color="auto" w:fill="FCFAFB"/>
        <w:ind w:left="360" w:hanging="360"/>
        <w:jc w:val="left"/>
        <w:rPr>
          <w:rFonts w:ascii="Verdana" w:eastAsia="宋体" w:hAnsi="Verdana" w:cs="宋体"/>
          <w:color w:val="505050"/>
          <w:kern w:val="0"/>
          <w:sz w:val="18"/>
          <w:szCs w:val="18"/>
        </w:rPr>
      </w:pPr>
      <w:r w:rsidRPr="00351B98">
        <w:rPr>
          <w:rFonts w:ascii="微软雅黑" w:eastAsia="微软雅黑" w:hAnsi="微软雅黑" w:cs="宋体" w:hint="eastAsia"/>
          <w:color w:val="505050"/>
          <w:kern w:val="0"/>
          <w:sz w:val="24"/>
          <w:szCs w:val="24"/>
        </w:rPr>
        <w:t>1.通过考核，出具“上外国际教育中心写实性学业证明及成绩单”，是入读世界一流大学的重要依据和凭证</w:t>
      </w:r>
    </w:p>
    <w:p w:rsidR="00351B98" w:rsidRPr="00351B98" w:rsidRDefault="00351B98" w:rsidP="00351B98">
      <w:pPr>
        <w:widowControl/>
        <w:shd w:val="clear" w:color="auto" w:fill="FCFAFB"/>
        <w:ind w:left="360" w:hanging="360"/>
        <w:jc w:val="left"/>
        <w:rPr>
          <w:rFonts w:ascii="Verdana" w:eastAsia="宋体" w:hAnsi="Verdana" w:cs="宋体"/>
          <w:color w:val="505050"/>
          <w:kern w:val="0"/>
          <w:sz w:val="18"/>
          <w:szCs w:val="18"/>
        </w:rPr>
      </w:pPr>
      <w:r w:rsidRPr="00351B98">
        <w:rPr>
          <w:rFonts w:ascii="微软雅黑" w:eastAsia="微软雅黑" w:hAnsi="微软雅黑" w:cs="宋体" w:hint="eastAsia"/>
          <w:color w:val="505050"/>
          <w:kern w:val="0"/>
          <w:sz w:val="24"/>
          <w:szCs w:val="24"/>
        </w:rPr>
        <w:lastRenderedPageBreak/>
        <w:t>2.合作大学均为世界顶级优质大学 ，学生国外所获学位全球通行，归国后可直接办理学位认证，享受留学归国人员的各项待遇</w:t>
      </w:r>
    </w:p>
    <w:p w:rsidR="00351B98" w:rsidRPr="00351B98" w:rsidRDefault="00351B98" w:rsidP="00351B98">
      <w:pPr>
        <w:widowControl/>
        <w:shd w:val="clear" w:color="auto" w:fill="FCFAFB"/>
        <w:ind w:firstLine="480"/>
        <w:jc w:val="left"/>
        <w:rPr>
          <w:rFonts w:ascii="Verdana" w:eastAsia="宋体" w:hAnsi="Verdana" w:cs="宋体"/>
          <w:color w:val="505050"/>
          <w:kern w:val="0"/>
          <w:sz w:val="18"/>
          <w:szCs w:val="18"/>
        </w:rPr>
      </w:pPr>
      <w:r w:rsidRPr="00351B98">
        <w:rPr>
          <w:rFonts w:ascii="Verdana" w:eastAsia="宋体" w:hAnsi="Verdana" w:cs="宋体"/>
          <w:color w:val="505050"/>
          <w:kern w:val="0"/>
          <w:sz w:val="18"/>
          <w:szCs w:val="18"/>
        </w:rPr>
        <w:t> </w:t>
      </w:r>
    </w:p>
    <w:p w:rsidR="00351B98" w:rsidRPr="00351B98" w:rsidRDefault="00351B98" w:rsidP="00351B98">
      <w:pPr>
        <w:widowControl/>
        <w:shd w:val="clear" w:color="auto" w:fill="FCFAFB"/>
        <w:ind w:firstLine="420"/>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 </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p>
    <w:p w:rsidR="00351B98" w:rsidRPr="00351B98" w:rsidRDefault="00351B98" w:rsidP="00351B98">
      <w:pPr>
        <w:widowControl/>
        <w:shd w:val="clear" w:color="auto" w:fill="FCFAFB"/>
        <w:ind w:left="360" w:hanging="360"/>
        <w:jc w:val="left"/>
        <w:rPr>
          <w:rFonts w:ascii="Verdana" w:eastAsia="宋体" w:hAnsi="Verdana" w:cs="宋体"/>
          <w:color w:val="505050"/>
          <w:kern w:val="0"/>
          <w:sz w:val="18"/>
          <w:szCs w:val="18"/>
        </w:rPr>
      </w:pPr>
      <w:r w:rsidRPr="00351B98">
        <w:rPr>
          <w:rFonts w:ascii="微软雅黑" w:eastAsia="微软雅黑" w:hAnsi="微软雅黑" w:cs="宋体" w:hint="eastAsia"/>
          <w:color w:val="505050"/>
          <w:kern w:val="0"/>
          <w:sz w:val="24"/>
          <w:szCs w:val="24"/>
        </w:rPr>
        <w:br/>
      </w:r>
      <w:r w:rsidRPr="00351B98">
        <w:rPr>
          <w:rFonts w:ascii="Verdana" w:eastAsia="宋体" w:hAnsi="Verdana" w:cs="宋体"/>
          <w:color w:val="505050"/>
          <w:kern w:val="0"/>
          <w:sz w:val="18"/>
          <w:szCs w:val="18"/>
        </w:rPr>
        <w:t> </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Verdana" w:eastAsia="宋体" w:hAnsi="Verdana" w:cs="宋体"/>
          <w:color w:val="505050"/>
          <w:kern w:val="0"/>
          <w:sz w:val="18"/>
          <w:szCs w:val="18"/>
        </w:rPr>
        <w:t> </w:t>
      </w:r>
    </w:p>
    <w:p w:rsidR="00351B98" w:rsidRPr="00351B98" w:rsidRDefault="00351B98" w:rsidP="00351B98">
      <w:pPr>
        <w:widowControl/>
        <w:shd w:val="clear" w:color="auto" w:fill="FCFAFB"/>
        <w:ind w:left="360" w:hanging="360"/>
        <w:jc w:val="left"/>
        <w:rPr>
          <w:rFonts w:ascii="Verdana" w:eastAsia="宋体" w:hAnsi="Verdana" w:cs="宋体"/>
          <w:color w:val="505050"/>
          <w:kern w:val="0"/>
          <w:sz w:val="18"/>
          <w:szCs w:val="18"/>
        </w:rPr>
      </w:pPr>
    </w:p>
    <w:p w:rsidR="00351B98" w:rsidRPr="00351B98" w:rsidRDefault="00351B98" w:rsidP="00351B98">
      <w:pPr>
        <w:widowControl/>
        <w:shd w:val="clear" w:color="auto" w:fill="FCFAFB"/>
        <w:ind w:left="360" w:hanging="360"/>
        <w:jc w:val="center"/>
        <w:rPr>
          <w:rFonts w:ascii="Verdana" w:eastAsia="宋体" w:hAnsi="Verdana" w:cs="宋体"/>
          <w:color w:val="505050"/>
          <w:kern w:val="0"/>
          <w:sz w:val="18"/>
          <w:szCs w:val="18"/>
        </w:rPr>
      </w:pPr>
      <w:r>
        <w:rPr>
          <w:rFonts w:ascii="微软雅黑" w:eastAsia="微软雅黑" w:hAnsi="微软雅黑" w:cs="宋体"/>
          <w:noProof/>
          <w:color w:val="666666"/>
          <w:kern w:val="0"/>
          <w:sz w:val="24"/>
          <w:szCs w:val="24"/>
        </w:rPr>
        <w:drawing>
          <wp:inline distT="0" distB="0" distL="0" distR="0">
            <wp:extent cx="5715000" cy="3790950"/>
            <wp:effectExtent l="19050" t="0" r="0" b="0"/>
            <wp:docPr id="2" name="图片 2" descr="http://www.sisuedu.cn/kindeditor/attached/image/20171225/20171225164636_7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suedu.cn/kindeditor/attached/image/20171225/20171225164636_70246.jpg"/>
                    <pic:cNvPicPr>
                      <a:picLocks noChangeAspect="1" noChangeArrowheads="1"/>
                    </pic:cNvPicPr>
                  </pic:nvPicPr>
                  <pic:blipFill>
                    <a:blip r:embed="rId6" cstate="print"/>
                    <a:srcRect/>
                    <a:stretch>
                      <a:fillRect/>
                    </a:stretch>
                  </pic:blipFill>
                  <pic:spPr bwMode="auto">
                    <a:xfrm>
                      <a:off x="0" y="0"/>
                      <a:ext cx="5715000" cy="3790950"/>
                    </a:xfrm>
                    <a:prstGeom prst="rect">
                      <a:avLst/>
                    </a:prstGeom>
                    <a:noFill/>
                    <a:ln w="9525">
                      <a:noFill/>
                      <a:miter lim="800000"/>
                      <a:headEnd/>
                      <a:tailEnd/>
                    </a:ln>
                  </pic:spPr>
                </pic:pic>
              </a:graphicData>
            </a:graphic>
          </wp:inline>
        </w:drawing>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p>
    <w:p w:rsidR="00351B98" w:rsidRPr="00351B98" w:rsidRDefault="00351B98" w:rsidP="00351B98">
      <w:pPr>
        <w:widowControl/>
        <w:shd w:val="clear" w:color="auto" w:fill="FCFAFB"/>
        <w:jc w:val="left"/>
        <w:rPr>
          <w:rFonts w:ascii="Verdana" w:eastAsia="宋体" w:hAnsi="Verdana" w:cs="宋体"/>
          <w:color w:val="505050"/>
          <w:kern w:val="0"/>
          <w:sz w:val="18"/>
          <w:szCs w:val="18"/>
        </w:rPr>
      </w:pP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可选专业</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p>
    <w:p w:rsidR="00351B98" w:rsidRPr="00351B98" w:rsidRDefault="00351B98" w:rsidP="00351B98">
      <w:pPr>
        <w:widowControl/>
        <w:ind w:firstLine="405"/>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文、理、工、商、艺术、医学（部分）法律（部分）等专业均可申请。</w:t>
      </w:r>
    </w:p>
    <w:p w:rsidR="00351B98" w:rsidRPr="00351B98" w:rsidRDefault="00351B98" w:rsidP="00351B98">
      <w:pPr>
        <w:widowControl/>
        <w:ind w:firstLine="405"/>
        <w:rPr>
          <w:rFonts w:ascii="Verdana" w:eastAsia="宋体" w:hAnsi="Verdana" w:cs="宋体"/>
          <w:color w:val="505050"/>
          <w:kern w:val="0"/>
          <w:sz w:val="18"/>
          <w:szCs w:val="18"/>
        </w:rPr>
      </w:pPr>
    </w:p>
    <w:p w:rsidR="00351B98" w:rsidRPr="00351B98" w:rsidRDefault="00351B98" w:rsidP="00351B98">
      <w:pPr>
        <w:widowControl/>
        <w:ind w:firstLine="405"/>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如：金融、会计、精算、银行金融、财务管理、农业经济、统计学、应用数学、企业管理、国际贸易、国际发展与合作、经济学、工商管理、国际酒店管理、</w:t>
      </w:r>
      <w:r w:rsidRPr="00351B98">
        <w:rPr>
          <w:rFonts w:ascii="微软雅黑" w:eastAsia="微软雅黑" w:hAnsi="微软雅黑" w:cs="宋体" w:hint="eastAsia"/>
          <w:color w:val="666666"/>
          <w:kern w:val="0"/>
          <w:sz w:val="24"/>
          <w:szCs w:val="24"/>
        </w:rPr>
        <w:lastRenderedPageBreak/>
        <w:t>旅游观光、会展、人力资源管理、物流供应链管理、体育经济管理、风险管理、国际商务、市场营销、战略管理管理研究、组织研究、市场学、投资金融、商务金融与经济、证券、投资金融、房地产投资管理、广告学、运营管理、图书馆管理、税务与会计、统计管理、会计信息系统、计算机工程、经济计算机学、金融信息系统、电脑科学、</w:t>
      </w:r>
    </w:p>
    <w:p w:rsidR="00351B98" w:rsidRPr="00351B98" w:rsidRDefault="00351B98" w:rsidP="00351B98">
      <w:pPr>
        <w:widowControl/>
        <w:ind w:firstLine="405"/>
        <w:rPr>
          <w:rFonts w:ascii="Verdana" w:eastAsia="宋体" w:hAnsi="Verdana" w:cs="宋体"/>
          <w:color w:val="505050"/>
          <w:kern w:val="0"/>
          <w:sz w:val="18"/>
          <w:szCs w:val="18"/>
        </w:rPr>
      </w:pPr>
    </w:p>
    <w:p w:rsidR="00351B98" w:rsidRPr="00351B98" w:rsidRDefault="00351B98" w:rsidP="00351B98">
      <w:pPr>
        <w:widowControl/>
        <w:ind w:firstLine="405"/>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电脑系统分析、电子传讯、电子工程、信息工程、通信工程、商用电脑、计算机科学、信息与通讯、通讯与媒体信息、化学、生物学、数学、社会学、政治学、建筑、化学工程、生物工程、电子与电气工程、土木工程、材料工程、环境工程、机械工程、交通工程、结构工程、</w:t>
      </w:r>
    </w:p>
    <w:p w:rsidR="00351B98" w:rsidRPr="00351B98" w:rsidRDefault="00351B98" w:rsidP="00351B98">
      <w:pPr>
        <w:widowControl/>
        <w:ind w:firstLine="405"/>
        <w:rPr>
          <w:rFonts w:ascii="Verdana" w:eastAsia="宋体" w:hAnsi="Verdana" w:cs="宋体"/>
          <w:color w:val="505050"/>
          <w:kern w:val="0"/>
          <w:sz w:val="18"/>
          <w:szCs w:val="18"/>
        </w:rPr>
      </w:pPr>
    </w:p>
    <w:p w:rsidR="00351B98" w:rsidRPr="00351B98" w:rsidRDefault="00351B98" w:rsidP="00351B98">
      <w:pPr>
        <w:widowControl/>
        <w:ind w:firstLine="405"/>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新能源新材料、航空航天工程、汽车工程、船舶与海洋工程、翻译、同声传译、教育、TESOL、幼儿教育、小学教育、教育心理、心理学、药剂学、药理学、公共卫生、微生物学、生物统计学、职业健康、营养学、护理、社会福利、社会工作、新闻学、传媒学、数字媒体、动漫、视觉艺术、表演艺术、平面设计、工业设计、城市规划、环境设计、奢侈品管理、品牌管理、葡萄酒酿造、国际法律与税法等等</w:t>
      </w:r>
    </w:p>
    <w:p w:rsidR="00351B98" w:rsidRPr="00351B98" w:rsidRDefault="00351B98" w:rsidP="00351B98">
      <w:pPr>
        <w:widowControl/>
        <w:shd w:val="clear" w:color="auto" w:fill="FCFAFB"/>
        <w:spacing w:line="315" w:lineRule="atLeast"/>
        <w:jc w:val="center"/>
        <w:rPr>
          <w:rFonts w:ascii="Verdana" w:eastAsia="宋体" w:hAnsi="Verdana" w:cs="宋体"/>
          <w:color w:val="505050"/>
          <w:kern w:val="0"/>
          <w:sz w:val="18"/>
          <w:szCs w:val="18"/>
        </w:rPr>
      </w:pPr>
    </w:p>
    <w:p w:rsidR="00351B98" w:rsidRPr="00351B98" w:rsidRDefault="00351B98" w:rsidP="00351B98">
      <w:pPr>
        <w:widowControl/>
        <w:shd w:val="clear" w:color="auto" w:fill="FCFAFB"/>
        <w:spacing w:line="315" w:lineRule="atLeast"/>
        <w:jc w:val="center"/>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 </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课程设置</w:t>
      </w:r>
    </w:p>
    <w:tbl>
      <w:tblPr>
        <w:tblpPr w:leftFromText="180" w:rightFromText="180" w:vertAnchor="text"/>
        <w:tblW w:w="5250" w:type="pct"/>
        <w:tblCellSpacing w:w="0" w:type="dxa"/>
        <w:tblCellMar>
          <w:left w:w="0" w:type="dxa"/>
          <w:right w:w="0" w:type="dxa"/>
        </w:tblCellMar>
        <w:tblLook w:val="04A0"/>
      </w:tblPr>
      <w:tblGrid>
        <w:gridCol w:w="1635"/>
        <w:gridCol w:w="1634"/>
        <w:gridCol w:w="5721"/>
      </w:tblGrid>
      <w:tr w:rsidR="00351B98" w:rsidRPr="00351B98" w:rsidTr="00351B98">
        <w:trPr>
          <w:trHeight w:val="448"/>
          <w:tblCellSpacing w:w="0" w:type="dxa"/>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ind w:firstLine="220"/>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授课模块</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ind w:left="420" w:firstLine="220"/>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科目</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ind w:left="420" w:firstLine="660"/>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教学目标</w:t>
            </w:r>
          </w:p>
        </w:tc>
      </w:tr>
      <w:tr w:rsidR="00351B98" w:rsidRPr="00351B98" w:rsidTr="00351B98">
        <w:trPr>
          <w:trHeight w:val="340"/>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素质拓展模块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综合素质提升</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☆爱心、包容心、自信心、自立、自理能力的建立；</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☆增强社会家庭责任感、竞争意识和心理承受能力；</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lastRenderedPageBreak/>
              <w:t>☆增强团队协作精神、领导及组织能力。</w:t>
            </w: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职业素质培养</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明确人生目标及自我定位，清晰未来职业规划。</w:t>
            </w:r>
          </w:p>
        </w:tc>
      </w:tr>
      <w:tr w:rsidR="00351B98" w:rsidRPr="00351B98" w:rsidTr="00351B98">
        <w:trPr>
          <w:trHeight w:val="1764"/>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学术能力建立</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☆培养独立的思维方式，创新能力及批判性看问题能力；</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☆适应西方“以学生为中心”的教学方式；</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☆适应国外形式多样的的课业评估体系；</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☆接轨西方学术标准，以适应西方学习习惯及思维方式。</w:t>
            </w:r>
          </w:p>
        </w:tc>
      </w:tr>
      <w:tr w:rsidR="00351B98" w:rsidRPr="00351B98" w:rsidTr="00351B98">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语言提升模块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雅思、托福基础</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☆夯实英语基础，系统提升英语应用能力；</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☆熟悉考试内容，把握考试题型，研究考试趋势；</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☆进行考试实战模拟，提高应试水平；</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☆顺利考出理想成绩。</w:t>
            </w:r>
          </w:p>
        </w:tc>
      </w:tr>
      <w:tr w:rsidR="00351B98" w:rsidRPr="00351B98" w:rsidTr="00351B98">
        <w:trPr>
          <w:trHeight w:val="49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雅思、托福强化</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雅思、托福冲刺</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雅思、托福突破</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747"/>
          <w:tblCellSpacing w:w="0" w:type="dxa"/>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名校冲刺模块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SAT1  SAT2</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☆依据学生学习程度选择相应课程进行学习；</w:t>
            </w:r>
          </w:p>
        </w:tc>
      </w:tr>
      <w:tr w:rsidR="00351B98" w:rsidRPr="00351B98" w:rsidTr="00351B98">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专业学术</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学分课程模块</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(部分为选修课)</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数学</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☆预先学习国外大学公共课程的基本专业知识；</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☆扎实学术基础，提高专业课程的学习能力；</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☆熟练运用学术英语进行学术讨论、研究与写作；</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☆转换部分学分，为海外留学减轻学习压力。</w:t>
            </w: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学术英语</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分析性写作</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计算机应用</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宏观经济学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微观经济学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微积分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统计学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管理学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口才交流基础</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研究方法与技巧</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西方历史与文化</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升学指导模块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校内名校见面会</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☆名校招生官面对面，面试合格直接颁发录取通知书；</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☆一对一帮助学生规划专业方向及学校选择；</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☆提前实地考察海外名校，了解海外大学学习情况。</w:t>
            </w:r>
          </w:p>
        </w:tc>
      </w:tr>
      <w:tr w:rsidR="00351B98" w:rsidRPr="00351B98" w:rsidTr="00351B98">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海外升学指导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r w:rsidR="00351B98" w:rsidRPr="00351B98" w:rsidTr="00351B98">
        <w:trPr>
          <w:trHeight w:val="917"/>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海外考察（可选）</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1B98" w:rsidRPr="00351B98" w:rsidRDefault="00351B98" w:rsidP="00351B98">
            <w:pPr>
              <w:widowControl/>
              <w:jc w:val="left"/>
              <w:rPr>
                <w:rFonts w:ascii="Verdana" w:eastAsia="宋体" w:hAnsi="Verdana" w:cs="宋体"/>
                <w:color w:val="505050"/>
                <w:kern w:val="0"/>
                <w:sz w:val="18"/>
                <w:szCs w:val="18"/>
              </w:rPr>
            </w:pPr>
          </w:p>
        </w:tc>
      </w:tr>
    </w:tbl>
    <w:p w:rsidR="00351B98" w:rsidRPr="00351B98" w:rsidRDefault="00351B98" w:rsidP="00351B98">
      <w:pPr>
        <w:widowControl/>
        <w:shd w:val="clear" w:color="auto" w:fill="FCFAFB"/>
        <w:ind w:left="420"/>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Cs w:val="21"/>
        </w:rPr>
        <w:t> </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美国目标大学 </w:t>
      </w:r>
    </w:p>
    <w:p w:rsidR="00351B98" w:rsidRPr="00351B98" w:rsidRDefault="00351B98" w:rsidP="00351B98">
      <w:pPr>
        <w:widowControl/>
        <w:shd w:val="clear" w:color="auto" w:fill="FCFAFB"/>
        <w:rPr>
          <w:rFonts w:ascii="Verdana" w:eastAsia="宋体" w:hAnsi="Verdana" w:cs="宋体"/>
          <w:color w:val="505050"/>
          <w:kern w:val="0"/>
          <w:sz w:val="18"/>
          <w:szCs w:val="18"/>
        </w:rPr>
      </w:pPr>
      <w:r w:rsidRPr="00351B98">
        <w:rPr>
          <w:rFonts w:ascii="微软雅黑" w:eastAsia="微软雅黑" w:hAnsi="微软雅黑" w:cs="宋体" w:hint="eastAsia"/>
          <w:b/>
          <w:bCs/>
          <w:color w:val="666666"/>
          <w:kern w:val="0"/>
          <w:sz w:val="24"/>
          <w:szCs w:val="24"/>
        </w:rPr>
        <w:t>(2018年USNEWS排名)</w:t>
      </w:r>
    </w:p>
    <w:p w:rsidR="00351B98" w:rsidRPr="00351B98" w:rsidRDefault="00351B98" w:rsidP="00351B98">
      <w:pPr>
        <w:widowControl/>
        <w:shd w:val="clear" w:color="auto" w:fill="FCFAFB"/>
        <w:rPr>
          <w:rFonts w:ascii="Verdana" w:eastAsia="宋体" w:hAnsi="Verdana" w:cs="宋体"/>
          <w:color w:val="505050"/>
          <w:kern w:val="0"/>
          <w:sz w:val="18"/>
          <w:szCs w:val="18"/>
        </w:rPr>
      </w:pPr>
    </w:p>
    <w:tbl>
      <w:tblPr>
        <w:tblW w:w="8790" w:type="dxa"/>
        <w:jc w:val="center"/>
        <w:tblCellSpacing w:w="0" w:type="dxa"/>
        <w:tblCellMar>
          <w:left w:w="0" w:type="dxa"/>
          <w:right w:w="0" w:type="dxa"/>
        </w:tblCellMar>
        <w:tblLook w:val="04A0"/>
      </w:tblPr>
      <w:tblGrid>
        <w:gridCol w:w="2549"/>
        <w:gridCol w:w="2842"/>
        <w:gridCol w:w="3399"/>
      </w:tblGrid>
      <w:tr w:rsidR="00351B98" w:rsidRPr="00351B98" w:rsidTr="00351B98">
        <w:trPr>
          <w:trHeight w:val="165"/>
          <w:tblCellSpacing w:w="0" w:type="dxa"/>
          <w:jc w:val="center"/>
        </w:trPr>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b/>
                <w:bCs/>
                <w:color w:val="666666"/>
                <w:kern w:val="0"/>
                <w:sz w:val="24"/>
                <w:szCs w:val="24"/>
              </w:rPr>
              <w:t>排名   大学名称</w:t>
            </w:r>
          </w:p>
        </w:tc>
        <w:tc>
          <w:tcPr>
            <w:tcW w:w="2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b/>
                <w:bCs/>
                <w:color w:val="666666"/>
                <w:kern w:val="0"/>
                <w:sz w:val="24"/>
                <w:szCs w:val="24"/>
              </w:rPr>
              <w:t>排名    大学名称</w:t>
            </w:r>
          </w:p>
        </w:tc>
        <w:tc>
          <w:tcPr>
            <w:tcW w:w="33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b/>
                <w:bCs/>
                <w:color w:val="666666"/>
                <w:kern w:val="0"/>
                <w:sz w:val="24"/>
                <w:szCs w:val="24"/>
              </w:rPr>
              <w:t>排名     大学名称</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3  芝加哥大学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  哥伦比亚大学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  麻省理工大学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  斯坦福大学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8  宾夕法尼亚大学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9  杜克大学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11 西北大学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11 约翰霍普金斯大学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14 康奈尔大学</w:t>
            </w:r>
          </w:p>
        </w:tc>
      </w:tr>
      <w:tr w:rsidR="00351B98" w:rsidRPr="00351B98" w:rsidTr="00351B98">
        <w:trPr>
          <w:trHeight w:val="327"/>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18 圣母大学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18 华盛顿圣路易斯</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21 加州大学洛杉矶分校</w:t>
            </w:r>
          </w:p>
        </w:tc>
      </w:tr>
      <w:tr w:rsidR="00351B98" w:rsidRPr="00351B98" w:rsidTr="00351B98">
        <w:trPr>
          <w:trHeight w:val="327"/>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21 南加州大学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21 埃默里大学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21 加州大学伯克利分校</w:t>
            </w:r>
          </w:p>
        </w:tc>
      </w:tr>
      <w:tr w:rsidR="00351B98" w:rsidRPr="00351B98" w:rsidTr="00351B98">
        <w:trPr>
          <w:trHeight w:val="327"/>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25 卡耐基梅隆大学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25 弗吉尼亚大学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27 维克森林大学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28 密歇根大学安娜堡</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30 纽约大学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30 北卡罗来纳教堂山分校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lastRenderedPageBreak/>
              <w:t>34 罗彻斯特大学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34 佐治亚理工学院</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37 加州大学圣巴巴拉分校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37 凯斯西储大学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37 波士顿大学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40 东北大学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40 杜兰大学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42 加州大学欧文分校</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42 加州大学圣地亚哥分校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42 佛罗里达大学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46 加州大学戴维斯分校</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46 威斯康辛大学麦迪逊</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46 迈阿密大学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46 佩伯代因大学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52 伊利诺伊香槟分校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52 宾州州立帕克</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54 乔治亚大学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54 俄亥俄州立哥伦布斯分校</w:t>
            </w:r>
          </w:p>
        </w:tc>
      </w:tr>
      <w:tr w:rsidR="00351B98" w:rsidRPr="00351B98" w:rsidTr="00351B98">
        <w:trPr>
          <w:trHeight w:val="323"/>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56 华盛顿大学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56 德克萨斯大学奥斯汀</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56 普渡大学西拉法叶分校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61 雪城大学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61 马里兰大学帕克分校</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61 杨百翰大学普罗沃分校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68 匹茨堡大学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69 美利坚大学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69 明尼苏达大学双城分校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69 德州农工大学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69 弗吉尼亚理工大学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75 科罗拉多矿业大学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78 爱荷华大学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78 迈阿密大学牛津分校</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81 密歇根州立大学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81 特拉华大学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81 佛罗里达州立大学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87 纽约州立宾汉姆顿分校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87 丹佛大学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87 塔尔萨大学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90 印第安纳大学伯明顿分校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90 马凯特大学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94 圣路易斯大学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94 叶史瓦大学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97 纽约州立石溪分校</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97 纽约州立水牛城分校</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103奥本大学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103 伊利诺伊理工</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103 新罕布什尔大学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103 俄勒冈大学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103 戴顿大学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103 南卡罗来纳大学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110 阿拉巴马大学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110 旧金山大学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115 爱荷华州立大学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115 堪萨斯大学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115 天普大学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115 犹他大学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121 加州大学河滨分校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121 亚利桑那大学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123 密歇根理工大学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124 科罗拉多州立大学</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135 俄亥俄大学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129 亚利桑那州立大学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129 纽约州立奥尔巴尼分校</w:t>
            </w:r>
          </w:p>
        </w:tc>
      </w:tr>
      <w:tr w:rsidR="00351B98" w:rsidRPr="00351B98" w:rsidTr="00351B98">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lastRenderedPageBreak/>
              <w:t>135 俄勒冈州立大学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140 华盛顿州立大学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51B98" w:rsidRPr="00351B98" w:rsidRDefault="00351B98" w:rsidP="00351B98">
            <w:pPr>
              <w:widowControl/>
              <w:shd w:val="clear" w:color="auto" w:fill="FCFAFB"/>
              <w:spacing w:line="165" w:lineRule="atLeast"/>
              <w:jc w:val="left"/>
              <w:rPr>
                <w:rFonts w:ascii="宋体" w:eastAsia="宋体" w:hAnsi="宋体" w:cs="宋体"/>
                <w:kern w:val="0"/>
                <w:sz w:val="24"/>
                <w:szCs w:val="24"/>
              </w:rPr>
            </w:pPr>
            <w:r w:rsidRPr="00351B98">
              <w:rPr>
                <w:rFonts w:ascii="微软雅黑" w:eastAsia="微软雅黑" w:hAnsi="微软雅黑" w:cs="宋体" w:hint="eastAsia"/>
                <w:color w:val="666666"/>
                <w:kern w:val="0"/>
                <w:sz w:val="24"/>
                <w:szCs w:val="24"/>
              </w:rPr>
              <w:t>149 伊利诺伊州立大学</w:t>
            </w:r>
          </w:p>
        </w:tc>
      </w:tr>
    </w:tbl>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 </w:t>
      </w:r>
    </w:p>
    <w:p w:rsidR="00351B98" w:rsidRPr="00351B98" w:rsidRDefault="00351B98" w:rsidP="00351B98">
      <w:pPr>
        <w:widowControl/>
        <w:shd w:val="clear" w:color="auto" w:fill="FCFAFB"/>
        <w:jc w:val="left"/>
        <w:rPr>
          <w:rFonts w:ascii="Verdana" w:eastAsia="宋体" w:hAnsi="Verdana" w:cs="宋体"/>
          <w:color w:val="505050"/>
          <w:kern w:val="0"/>
          <w:sz w:val="18"/>
          <w:szCs w:val="18"/>
        </w:rPr>
      </w:pPr>
      <w:r w:rsidRPr="00351B98">
        <w:rPr>
          <w:rFonts w:ascii="微软雅黑" w:eastAsia="微软雅黑" w:hAnsi="微软雅黑" w:cs="宋体" w:hint="eastAsia"/>
          <w:color w:val="666666"/>
          <w:kern w:val="0"/>
          <w:sz w:val="24"/>
          <w:szCs w:val="24"/>
        </w:rPr>
        <w:t> </w:t>
      </w:r>
    </w:p>
    <w:p w:rsidR="00C73040" w:rsidRDefault="00C73040"/>
    <w:sectPr w:rsidR="00C73040" w:rsidSect="00C730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3727"/>
    <w:multiLevelType w:val="hybridMultilevel"/>
    <w:tmpl w:val="99C80456"/>
    <w:lvl w:ilvl="0" w:tplc="764A91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1B98"/>
    <w:rsid w:val="00137A51"/>
    <w:rsid w:val="00351B98"/>
    <w:rsid w:val="00A1698B"/>
    <w:rsid w:val="00BE302E"/>
    <w:rsid w:val="00C7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B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1B98"/>
    <w:rPr>
      <w:b/>
      <w:bCs/>
    </w:rPr>
  </w:style>
  <w:style w:type="character" w:styleId="a5">
    <w:name w:val="Hyperlink"/>
    <w:basedOn w:val="a0"/>
    <w:uiPriority w:val="99"/>
    <w:semiHidden/>
    <w:unhideWhenUsed/>
    <w:rsid w:val="00351B98"/>
    <w:rPr>
      <w:color w:val="0000FF"/>
      <w:u w:val="single"/>
    </w:rPr>
  </w:style>
  <w:style w:type="paragraph" w:styleId="a6">
    <w:name w:val="Balloon Text"/>
    <w:basedOn w:val="a"/>
    <w:link w:val="Char"/>
    <w:uiPriority w:val="99"/>
    <w:semiHidden/>
    <w:unhideWhenUsed/>
    <w:rsid w:val="00137A51"/>
    <w:rPr>
      <w:sz w:val="18"/>
      <w:szCs w:val="18"/>
    </w:rPr>
  </w:style>
  <w:style w:type="character" w:customStyle="1" w:styleId="Char">
    <w:name w:val="批注框文本 Char"/>
    <w:basedOn w:val="a0"/>
    <w:link w:val="a6"/>
    <w:uiPriority w:val="99"/>
    <w:semiHidden/>
    <w:rsid w:val="00137A51"/>
    <w:rPr>
      <w:sz w:val="18"/>
      <w:szCs w:val="18"/>
    </w:rPr>
  </w:style>
  <w:style w:type="paragraph" w:styleId="a7">
    <w:name w:val="List Paragraph"/>
    <w:basedOn w:val="a"/>
    <w:uiPriority w:val="34"/>
    <w:qFormat/>
    <w:rsid w:val="00137A51"/>
    <w:pPr>
      <w:ind w:firstLineChars="200" w:firstLine="420"/>
    </w:pPr>
  </w:style>
</w:styles>
</file>

<file path=word/webSettings.xml><?xml version="1.0" encoding="utf-8"?>
<w:webSettings xmlns:r="http://schemas.openxmlformats.org/officeDocument/2006/relationships" xmlns:w="http://schemas.openxmlformats.org/wordprocessingml/2006/main">
  <w:divs>
    <w:div w:id="138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2019-05-23T05:04:00Z</dcterms:created>
  <dcterms:modified xsi:type="dcterms:W3CDTF">2019-05-23T07:50:00Z</dcterms:modified>
</cp:coreProperties>
</file>