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思源黑体 Bold" w:hAnsi="思源黑体 Bold" w:eastAsia="思源黑体 Bold" w:cs="思源黑体 Bold"/>
          <w:b/>
          <w:color w:val="E78138"/>
          <w:kern w:val="0"/>
          <w:sz w:val="36"/>
          <w:szCs w:val="36"/>
          <w:lang w:val="en-US" w:eastAsia="zh-CN" w:bidi="ar"/>
        </w:rPr>
        <w:t>泰国北清迈大学</w:t>
      </w:r>
      <w:r>
        <w:rPr>
          <w:rFonts w:ascii="思源黑体 Bold" w:hAnsi="思源黑体 Bold" w:eastAsia="思源黑体 Bold" w:cs="思源黑体 Bold"/>
          <w:b/>
          <w:color w:val="E78138"/>
          <w:kern w:val="0"/>
          <w:sz w:val="36"/>
          <w:szCs w:val="36"/>
          <w:lang w:val="en-US" w:eastAsia="zh-CN" w:bidi="ar"/>
        </w:rPr>
        <w:t>工商管理硕士（</w:t>
      </w:r>
      <w:r>
        <w:rPr>
          <w:rFonts w:ascii="Bahnschrift" w:hAnsi="Bahnschrift" w:eastAsia="Bahnschrift" w:cs="Bahnschrift"/>
          <w:color w:val="E78138"/>
          <w:kern w:val="0"/>
          <w:sz w:val="36"/>
          <w:szCs w:val="36"/>
          <w:lang w:val="en-US" w:eastAsia="zh-CN" w:bidi="ar"/>
        </w:rPr>
        <w:t>MBA</w:t>
      </w:r>
      <w:r>
        <w:rPr>
          <w:rFonts w:hint="default" w:ascii="思源黑体 Bold" w:hAnsi="思源黑体 Bold" w:eastAsia="思源黑体 Bold" w:cs="思源黑体 Bold"/>
          <w:b/>
          <w:color w:val="E78138"/>
          <w:kern w:val="0"/>
          <w:sz w:val="36"/>
          <w:szCs w:val="36"/>
          <w:lang w:val="en-US" w:eastAsia="zh-CN" w:bidi="ar"/>
        </w:rPr>
        <w:t>）</w:t>
      </w:r>
    </w:p>
    <w:p>
      <w:pPr>
        <w:jc w:val="left"/>
        <w:rPr>
          <w:rFonts w:hint="eastAsia"/>
          <w:sz w:val="28"/>
          <w:szCs w:val="36"/>
        </w:rPr>
      </w:pPr>
      <w:bookmarkStart w:id="0" w:name="_GoBack"/>
      <w:bookmarkEnd w:id="0"/>
    </w:p>
    <w:p>
      <w:pPr>
        <w:jc w:val="left"/>
        <w:rPr>
          <w:rFonts w:hint="eastAsia"/>
          <w:b/>
          <w:bCs/>
          <w:color w:val="C55A11" w:themeColor="accent2" w:themeShade="BF"/>
          <w:sz w:val="28"/>
          <w:szCs w:val="36"/>
        </w:rPr>
      </w:pPr>
      <w:r>
        <w:rPr>
          <w:rFonts w:hint="eastAsia"/>
          <w:b/>
          <w:bCs/>
          <w:color w:val="C55A11" w:themeColor="accent2" w:themeShade="BF"/>
          <w:sz w:val="28"/>
          <w:szCs w:val="36"/>
        </w:rPr>
        <w:t>学校介绍</w:t>
      </w:r>
    </w:p>
    <w:p>
      <w:pPr>
        <w:jc w:val="left"/>
        <w:rPr>
          <w:rFonts w:hint="eastAsia"/>
          <w:sz w:val="28"/>
          <w:szCs w:val="36"/>
        </w:rPr>
      </w:pPr>
      <w:r>
        <w:rPr>
          <w:rFonts w:hint="eastAsia"/>
          <w:sz w:val="28"/>
          <w:szCs w:val="36"/>
        </w:rPr>
        <w:t>北清迈大学Wna-tinghaihienrstp) 简称:NoU;创办于1999年,座落于泰国清迈府杭东区,校园占地1000多亩,花园式的校园环境清丽静说。NCu目前拥有6个学院.20多个专业.10个硕土点和2个博士点是一所国际型小众精品大学;除了秦国本地学生。还有来自美国。加拿大本芬兰、瑞典、荷兰、中国.韩国以及印度等国家的留学生,不同的学院采用不同种类语进行教学,有泰文课程。英文课程和中文课程。</w:t>
      </w:r>
    </w:p>
    <w:p>
      <w:pPr>
        <w:ind w:firstLine="560" w:firstLineChars="200"/>
        <w:jc w:val="left"/>
        <w:rPr>
          <w:rFonts w:hint="eastAsia"/>
          <w:sz w:val="28"/>
          <w:szCs w:val="36"/>
        </w:rPr>
      </w:pPr>
      <w:r>
        <w:rPr>
          <w:rFonts w:hint="eastAsia"/>
          <w:sz w:val="28"/>
          <w:szCs w:val="36"/>
        </w:rPr>
        <w:t>二十年来，NCu以培养学生的仁义道德为座右铭,注重培养和提升学生的个人修养和实践能力,围绕此目标培养了众多稳重.正直.有自己的专业立场,成为科学与智慧的代表的优秀毕业生。在国际合作方面,与美国。中国.芬兰。瑞典。英国. 荷兰等国知名大学及科研机构进行学科合作,共同进行学料研究.教师及学生交换,NCu的学位及学分得到世界各国承认。根据奉王国教育部与中华人民共和国教育部2007年5月胜署的《关于相互承认高等教育学历和学位的协定的适用范围，北清迈大学属于奉国政府认可的有权授予学位及具有研究生教育资质的高等教育机构。已列入中国政府承认的有高等学历教育资质和学位授予权的奉国高校目录,在中国人民共和国驻泰教育组网站泰国高校名录中编号117,中华人民共和国教育部对奉国北清迈大学颁发的学位给予官方认定。</w:t>
      </w:r>
    </w:p>
    <w:p>
      <w:pPr>
        <w:keepNext w:val="0"/>
        <w:keepLines w:val="0"/>
        <w:widowControl/>
        <w:suppressLineNumbers w:val="0"/>
        <w:ind w:firstLine="2510" w:firstLineChars="500"/>
        <w:jc w:val="left"/>
        <w:rPr>
          <w:rFonts w:hint="eastAsia" w:ascii="思源黑体 Bold" w:hAnsi="思源黑体 Bold" w:eastAsia="思源黑体 Bold" w:cs="思源黑体 Bold"/>
          <w:b/>
          <w:color w:val="E78138"/>
          <w:kern w:val="0"/>
          <w:sz w:val="50"/>
          <w:szCs w:val="50"/>
          <w:lang w:val="en-US" w:eastAsia="zh-CN" w:bidi="ar"/>
        </w:rPr>
      </w:pPr>
    </w:p>
    <w:p>
      <w:pPr>
        <w:keepNext w:val="0"/>
        <w:keepLines w:val="0"/>
        <w:widowControl/>
        <w:suppressLineNumbers w:val="0"/>
        <w:jc w:val="left"/>
      </w:pPr>
      <w:r>
        <w:rPr>
          <w:rFonts w:ascii="思源黑体 Bold" w:hAnsi="思源黑体 Bold" w:eastAsia="思源黑体 Bold" w:cs="思源黑体 Bold"/>
          <w:b/>
          <w:color w:val="E78138"/>
          <w:kern w:val="0"/>
          <w:sz w:val="50"/>
          <w:szCs w:val="50"/>
          <w:lang w:val="en-US" w:eastAsia="zh-CN" w:bidi="ar"/>
        </w:rPr>
        <w:t>工商管理硕士（</w:t>
      </w:r>
      <w:r>
        <w:rPr>
          <w:rFonts w:ascii="Bahnschrift" w:hAnsi="Bahnschrift" w:eastAsia="Bahnschrift" w:cs="Bahnschrift"/>
          <w:color w:val="E78138"/>
          <w:kern w:val="0"/>
          <w:sz w:val="50"/>
          <w:szCs w:val="50"/>
          <w:lang w:val="en-US" w:eastAsia="zh-CN" w:bidi="ar"/>
        </w:rPr>
        <w:t>MBA</w:t>
      </w:r>
      <w:r>
        <w:rPr>
          <w:rFonts w:hint="default" w:ascii="思源黑体 Bold" w:hAnsi="思源黑体 Bold" w:eastAsia="思源黑体 Bold" w:cs="思源黑体 Bold"/>
          <w:b/>
          <w:color w:val="E78138"/>
          <w:kern w:val="0"/>
          <w:sz w:val="50"/>
          <w:szCs w:val="50"/>
          <w:lang w:val="en-US" w:eastAsia="zh-CN" w:bidi="ar"/>
        </w:rPr>
        <w:t>）专项计划</w:t>
      </w:r>
    </w:p>
    <w:p>
      <w:pPr>
        <w:keepNext w:val="0"/>
        <w:keepLines w:val="0"/>
        <w:widowControl/>
        <w:suppressLineNumbers w:val="0"/>
        <w:ind w:firstLine="560" w:firstLineChars="200"/>
        <w:jc w:val="left"/>
        <w:rPr>
          <w:rFonts w:hint="eastAsia"/>
          <w:sz w:val="28"/>
          <w:szCs w:val="28"/>
          <w:lang w:val="en-US" w:eastAsia="zh-CN"/>
        </w:rPr>
      </w:pPr>
      <w:r>
        <w:rPr>
          <w:rFonts w:hint="eastAsia"/>
          <w:sz w:val="28"/>
          <w:szCs w:val="28"/>
          <w:lang w:val="en-US" w:eastAsia="zh-CN"/>
        </w:rPr>
        <w:t xml:space="preserve">清迈是泰国著名的文旅休闲产业之都，NCU长期致力于文旅休闲产业国际化研 </w:t>
      </w:r>
      <w:r>
        <w:rPr>
          <w:rFonts w:hint="default"/>
          <w:sz w:val="28"/>
          <w:szCs w:val="28"/>
          <w:lang w:val="en-US" w:eastAsia="zh-CN"/>
        </w:rPr>
        <w:t>究，为此专门参与了多项地方产业政策咨询和产业国际化辅导项目。本校MBA以 商学教育国际化为方向，致力于为泰中两国培养未来企业发展所需的跨国经营 及管理人才。通过系统的课程设计提升学生的整合、分析与决策能力，强化学生 的企业管理知识洞见与技巧；通过实地参访提升学生的跨文化管理能力，强化 学生的企业伦理、社会责任与国际经营知识储备。</w:t>
      </w:r>
    </w:p>
    <w:p>
      <w:pPr>
        <w:keepNext w:val="0"/>
        <w:keepLines w:val="0"/>
        <w:widowControl/>
        <w:suppressLineNumbers w:val="0"/>
        <w:jc w:val="left"/>
      </w:pPr>
      <w:r>
        <w:rPr>
          <w:rFonts w:ascii="思源黑体 Bold" w:hAnsi="思源黑体 Bold" w:eastAsia="思源黑体 Bold" w:cs="思源黑体 Bold"/>
          <w:b/>
          <w:color w:val="E78138"/>
          <w:kern w:val="0"/>
          <w:sz w:val="50"/>
          <w:szCs w:val="50"/>
          <w:lang w:val="en-US" w:eastAsia="zh-CN" w:bidi="ar"/>
        </w:rPr>
        <w:t xml:space="preserve">专业特色 </w:t>
      </w:r>
    </w:p>
    <w:p>
      <w:pPr>
        <w:keepNext w:val="0"/>
        <w:keepLines w:val="0"/>
        <w:widowControl/>
        <w:suppressLineNumbers w:val="0"/>
        <w:ind w:firstLine="560" w:firstLineChars="200"/>
        <w:jc w:val="left"/>
        <w:rPr>
          <w:rFonts w:hint="eastAsia"/>
          <w:sz w:val="28"/>
          <w:szCs w:val="28"/>
          <w:lang w:val="en-US" w:eastAsia="zh-CN"/>
        </w:rPr>
      </w:pPr>
      <w:r>
        <w:rPr>
          <w:rFonts w:hint="eastAsia"/>
          <w:sz w:val="28"/>
          <w:szCs w:val="28"/>
          <w:lang w:val="en-US" w:eastAsia="zh-CN"/>
        </w:rPr>
        <w:t>入学从宽，勤劝成就，毕业从严，终得圆满，具有辅导重于淘汰的学习环境，优秀</w:t>
      </w:r>
      <w:r>
        <w:rPr>
          <w:rFonts w:hint="default"/>
          <w:sz w:val="28"/>
          <w:szCs w:val="28"/>
          <w:lang w:val="en-US" w:eastAsia="zh-CN"/>
        </w:rPr>
        <w:t>的师资、合理课程结构不断呼应中泰两国产业合作和实务需求的变迁；注重专业 导向的教育与研究，重视敬业精神教育，通过宏观与微观兼具的知识架构训练，融通学生的国际视野和在地行动力。</w:t>
      </w:r>
    </w:p>
    <w:p>
      <w:pPr>
        <w:keepNext w:val="0"/>
        <w:keepLines w:val="0"/>
        <w:widowControl/>
        <w:suppressLineNumbers w:val="0"/>
        <w:jc w:val="left"/>
      </w:pPr>
      <w:r>
        <w:rPr>
          <w:rFonts w:ascii="思源黑体 Bold" w:hAnsi="思源黑体 Bold" w:eastAsia="思源黑体 Bold" w:cs="思源黑体 Bold"/>
          <w:b/>
          <w:color w:val="E78138"/>
          <w:kern w:val="0"/>
          <w:sz w:val="50"/>
          <w:szCs w:val="50"/>
          <w:lang w:val="en-US" w:eastAsia="zh-CN" w:bidi="ar"/>
        </w:rPr>
        <w:t>课程设置</w:t>
      </w:r>
    </w:p>
    <w:tbl>
      <w:tblPr>
        <w:tblStyle w:val="3"/>
        <w:tblpPr w:leftFromText="180" w:rightFromText="180" w:vertAnchor="text" w:horzAnchor="page" w:tblpX="1757" w:tblpY="194"/>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5"/>
        <w:gridCol w:w="2285"/>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395" w:type="dxa"/>
          </w:tcPr>
          <w:p>
            <w:pPr>
              <w:keepNext w:val="0"/>
              <w:keepLines w:val="0"/>
              <w:widowControl/>
              <w:suppressLineNumbers w:val="0"/>
              <w:jc w:val="left"/>
              <w:rPr>
                <w:rFonts w:hint="eastAsia" w:eastAsiaTheme="minorEastAsia"/>
                <w:sz w:val="24"/>
                <w:szCs w:val="24"/>
                <w:vertAlign w:val="baseline"/>
                <w:lang w:val="en-US" w:eastAsia="zh-CN"/>
              </w:rPr>
            </w:pPr>
            <w:r>
              <w:rPr>
                <w:rFonts w:hint="eastAsia"/>
                <w:sz w:val="24"/>
                <w:szCs w:val="24"/>
                <w:vertAlign w:val="baseline"/>
              </w:rPr>
              <w:t>全球化督景下的管理理论与</w:t>
            </w:r>
            <w:r>
              <w:rPr>
                <w:rFonts w:hint="eastAsia"/>
                <w:sz w:val="24"/>
                <w:szCs w:val="24"/>
                <w:vertAlign w:val="baseline"/>
                <w:lang w:val="en-US" w:eastAsia="zh-CN"/>
              </w:rPr>
              <w:t>实务</w:t>
            </w:r>
          </w:p>
        </w:tc>
        <w:tc>
          <w:tcPr>
            <w:tcW w:w="2285" w:type="dxa"/>
          </w:tcPr>
          <w:p>
            <w:pPr>
              <w:keepNext w:val="0"/>
              <w:keepLines w:val="0"/>
              <w:widowControl/>
              <w:suppressLineNumbers w:val="0"/>
              <w:jc w:val="left"/>
              <w:rPr>
                <w:rFonts w:hint="eastAsia"/>
                <w:sz w:val="24"/>
                <w:szCs w:val="24"/>
                <w:vertAlign w:val="baseline"/>
              </w:rPr>
            </w:pPr>
            <w:r>
              <w:rPr>
                <w:rFonts w:hint="eastAsia"/>
                <w:sz w:val="24"/>
                <w:szCs w:val="24"/>
                <w:vertAlign w:val="baseline"/>
              </w:rPr>
              <w:t>管</w:t>
            </w:r>
            <w:r>
              <w:rPr>
                <w:rFonts w:hint="eastAsia"/>
                <w:sz w:val="24"/>
                <w:szCs w:val="24"/>
                <w:vertAlign w:val="baseline"/>
                <w:lang w:val="en-US" w:eastAsia="zh-CN"/>
              </w:rPr>
              <w:t>理</w:t>
            </w:r>
            <w:r>
              <w:rPr>
                <w:rFonts w:hint="eastAsia"/>
                <w:sz w:val="24"/>
                <w:szCs w:val="24"/>
                <w:vertAlign w:val="baseline"/>
              </w:rPr>
              <w:t>学基础理论</w:t>
            </w:r>
          </w:p>
        </w:tc>
        <w:tc>
          <w:tcPr>
            <w:tcW w:w="2840" w:type="dxa"/>
          </w:tcPr>
          <w:p>
            <w:pPr>
              <w:keepNext w:val="0"/>
              <w:keepLines w:val="0"/>
              <w:widowControl/>
              <w:suppressLineNumbers w:val="0"/>
              <w:jc w:val="left"/>
              <w:rPr>
                <w:rFonts w:hint="eastAsia"/>
                <w:sz w:val="24"/>
                <w:szCs w:val="24"/>
                <w:vertAlign w:val="baseline"/>
              </w:rPr>
            </w:pPr>
            <w:r>
              <w:rPr>
                <w:rFonts w:hint="eastAsia"/>
                <w:sz w:val="24"/>
                <w:szCs w:val="24"/>
                <w:vertAlign w:val="baseline"/>
              </w:rPr>
              <w:t>东南亚商业环境分析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395" w:type="dxa"/>
          </w:tcPr>
          <w:p>
            <w:pPr>
              <w:keepNext w:val="0"/>
              <w:keepLines w:val="0"/>
              <w:widowControl/>
              <w:suppressLineNumbers w:val="0"/>
              <w:jc w:val="left"/>
              <w:rPr>
                <w:rFonts w:hint="eastAsia"/>
                <w:sz w:val="24"/>
                <w:szCs w:val="24"/>
                <w:vertAlign w:val="baseline"/>
              </w:rPr>
            </w:pPr>
            <w:r>
              <w:rPr>
                <w:rFonts w:hint="eastAsia"/>
                <w:sz w:val="24"/>
                <w:szCs w:val="24"/>
                <w:vertAlign w:val="baseline"/>
              </w:rPr>
              <w:t>东南亚市场营情年略研究</w:t>
            </w:r>
          </w:p>
        </w:tc>
        <w:tc>
          <w:tcPr>
            <w:tcW w:w="2285" w:type="dxa"/>
          </w:tcPr>
          <w:p>
            <w:pPr>
              <w:keepNext w:val="0"/>
              <w:keepLines w:val="0"/>
              <w:widowControl/>
              <w:suppressLineNumbers w:val="0"/>
              <w:jc w:val="left"/>
              <w:rPr>
                <w:rFonts w:hint="eastAsia" w:eastAsiaTheme="minorEastAsia"/>
                <w:sz w:val="24"/>
                <w:szCs w:val="24"/>
                <w:vertAlign w:val="baseline"/>
                <w:lang w:eastAsia="zh-CN"/>
              </w:rPr>
            </w:pPr>
            <w:r>
              <w:rPr>
                <w:rFonts w:hint="eastAsia"/>
                <w:sz w:val="24"/>
                <w:szCs w:val="24"/>
                <w:vertAlign w:val="baseline"/>
              </w:rPr>
              <w:t>国际商务管理</w:t>
            </w:r>
            <w:r>
              <w:rPr>
                <w:rFonts w:hint="eastAsia"/>
                <w:sz w:val="24"/>
                <w:szCs w:val="24"/>
                <w:vertAlign w:val="baseline"/>
                <w:lang w:val="en-US" w:eastAsia="zh-CN"/>
              </w:rPr>
              <w:t>研究</w:t>
            </w:r>
          </w:p>
        </w:tc>
        <w:tc>
          <w:tcPr>
            <w:tcW w:w="2840" w:type="dxa"/>
          </w:tcPr>
          <w:p>
            <w:pPr>
              <w:keepNext w:val="0"/>
              <w:keepLines w:val="0"/>
              <w:widowControl/>
              <w:suppressLineNumbers w:val="0"/>
              <w:jc w:val="left"/>
              <w:rPr>
                <w:rFonts w:hint="eastAsia"/>
                <w:sz w:val="24"/>
                <w:szCs w:val="24"/>
                <w:vertAlign w:val="baseline"/>
              </w:rPr>
            </w:pPr>
            <w:r>
              <w:rPr>
                <w:rFonts w:hint="eastAsia"/>
                <w:sz w:val="24"/>
                <w:szCs w:val="24"/>
                <w:vertAlign w:val="baseline"/>
              </w:rPr>
              <w:t>信息系统与</w:t>
            </w:r>
            <w:r>
              <w:rPr>
                <w:rFonts w:hint="eastAsia"/>
                <w:sz w:val="24"/>
                <w:szCs w:val="24"/>
                <w:vertAlign w:val="baseline"/>
                <w:lang w:val="en-US" w:eastAsia="zh-CN"/>
              </w:rPr>
              <w:t>定量</w:t>
            </w:r>
            <w:r>
              <w:rPr>
                <w:rFonts w:hint="eastAsia"/>
                <w:sz w:val="24"/>
                <w:szCs w:val="24"/>
                <w:vertAlign w:val="baseline"/>
              </w:rPr>
              <w:t>商业分析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5" w:type="dxa"/>
          </w:tcPr>
          <w:p>
            <w:pPr>
              <w:keepNext w:val="0"/>
              <w:keepLines w:val="0"/>
              <w:widowControl/>
              <w:suppressLineNumbers w:val="0"/>
              <w:jc w:val="left"/>
              <w:rPr>
                <w:rFonts w:hint="eastAsia" w:eastAsiaTheme="minorEastAsia"/>
                <w:sz w:val="24"/>
                <w:szCs w:val="24"/>
                <w:vertAlign w:val="baseline"/>
                <w:lang w:eastAsia="zh-CN"/>
              </w:rPr>
            </w:pPr>
            <w:r>
              <w:rPr>
                <w:rFonts w:hint="eastAsia"/>
                <w:sz w:val="24"/>
                <w:szCs w:val="24"/>
                <w:vertAlign w:val="baseline"/>
              </w:rPr>
              <w:t>战路管理与商业竞争力</w:t>
            </w:r>
            <w:r>
              <w:rPr>
                <w:rFonts w:hint="eastAsia"/>
                <w:sz w:val="24"/>
                <w:szCs w:val="24"/>
                <w:vertAlign w:val="baseline"/>
                <w:lang w:val="en-US" w:eastAsia="zh-CN"/>
              </w:rPr>
              <w:t>研究</w:t>
            </w:r>
          </w:p>
        </w:tc>
        <w:tc>
          <w:tcPr>
            <w:tcW w:w="2285"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sz w:val="24"/>
                <w:szCs w:val="24"/>
                <w:vertAlign w:val="baseline"/>
                <w:lang w:val="en-US" w:eastAsia="zh-CN"/>
              </w:rPr>
              <w:t>管理思想史</w:t>
            </w:r>
          </w:p>
        </w:tc>
        <w:tc>
          <w:tcPr>
            <w:tcW w:w="2840"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sz w:val="24"/>
                <w:szCs w:val="24"/>
                <w:vertAlign w:val="baseline"/>
                <w:lang w:val="en-US" w:eastAsia="zh-CN"/>
              </w:rPr>
              <w:t>知识管理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5" w:type="dxa"/>
          </w:tcPr>
          <w:p>
            <w:pPr>
              <w:keepNext w:val="0"/>
              <w:keepLines w:val="0"/>
              <w:widowControl/>
              <w:suppressLineNumbers w:val="0"/>
              <w:jc w:val="left"/>
              <w:rPr>
                <w:rFonts w:hint="default" w:eastAsiaTheme="minorEastAsia"/>
                <w:sz w:val="24"/>
                <w:szCs w:val="24"/>
                <w:vertAlign w:val="baseline"/>
                <w:lang w:val="en-US" w:eastAsia="zh-CN"/>
              </w:rPr>
            </w:pPr>
            <w:r>
              <w:rPr>
                <w:rFonts w:hint="eastAsia"/>
                <w:sz w:val="24"/>
                <w:szCs w:val="24"/>
                <w:vertAlign w:val="baseline"/>
                <w:lang w:val="en-US" w:eastAsia="zh-CN"/>
              </w:rPr>
              <w:t>研究方法论</w:t>
            </w:r>
          </w:p>
        </w:tc>
        <w:tc>
          <w:tcPr>
            <w:tcW w:w="2285" w:type="dxa"/>
          </w:tcPr>
          <w:p>
            <w:pPr>
              <w:keepNext w:val="0"/>
              <w:keepLines w:val="0"/>
              <w:widowControl/>
              <w:suppressLineNumbers w:val="0"/>
              <w:jc w:val="left"/>
              <w:rPr>
                <w:rFonts w:hint="eastAsia"/>
                <w:sz w:val="24"/>
                <w:szCs w:val="24"/>
                <w:vertAlign w:val="baseline"/>
              </w:rPr>
            </w:pPr>
          </w:p>
        </w:tc>
        <w:tc>
          <w:tcPr>
            <w:tcW w:w="2840" w:type="dxa"/>
          </w:tcPr>
          <w:p>
            <w:pPr>
              <w:keepNext w:val="0"/>
              <w:keepLines w:val="0"/>
              <w:widowControl/>
              <w:suppressLineNumbers w:val="0"/>
              <w:jc w:val="left"/>
              <w:rPr>
                <w:rFonts w:hint="default" w:eastAsiaTheme="minorEastAsia"/>
                <w:sz w:val="24"/>
                <w:szCs w:val="24"/>
                <w:vertAlign w:val="baseline"/>
                <w:lang w:val="en-US" w:eastAsia="zh-CN"/>
              </w:rPr>
            </w:pPr>
          </w:p>
        </w:tc>
      </w:tr>
    </w:tbl>
    <w:p>
      <w:pPr>
        <w:keepNext w:val="0"/>
        <w:keepLines w:val="0"/>
        <w:widowControl/>
        <w:suppressLineNumbers w:val="0"/>
        <w:jc w:val="left"/>
      </w:pPr>
      <w:r>
        <w:rPr>
          <w:rFonts w:ascii="思源黑体 Bold" w:hAnsi="思源黑体 Bold" w:eastAsia="思源黑体 Bold" w:cs="思源黑体 Bold"/>
          <w:b/>
          <w:color w:val="E78138"/>
          <w:kern w:val="0"/>
          <w:sz w:val="50"/>
          <w:szCs w:val="50"/>
          <w:lang w:val="en-US" w:eastAsia="zh-CN" w:bidi="ar"/>
        </w:rPr>
        <w:t xml:space="preserve">申请与录取 </w:t>
      </w:r>
    </w:p>
    <w:p>
      <w:pPr>
        <w:keepNext w:val="0"/>
        <w:keepLines w:val="0"/>
        <w:widowControl/>
        <w:suppressLineNumbers w:val="0"/>
        <w:ind w:firstLine="560" w:firstLineChars="200"/>
        <w:jc w:val="left"/>
        <w:rPr>
          <w:rFonts w:hint="eastAsia"/>
          <w:sz w:val="28"/>
          <w:szCs w:val="28"/>
          <w:lang w:val="en-US" w:eastAsia="zh-CN"/>
        </w:rPr>
      </w:pPr>
      <w:r>
        <w:rPr>
          <w:rFonts w:hint="eastAsia"/>
          <w:sz w:val="28"/>
          <w:szCs w:val="28"/>
          <w:lang w:val="en-US" w:eastAsia="zh-CN"/>
        </w:rPr>
        <w:t xml:space="preserve">1、泰国高教部认可的本科及以上学历 </w:t>
      </w:r>
    </w:p>
    <w:p>
      <w:pPr>
        <w:keepNext w:val="0"/>
        <w:keepLines w:val="0"/>
        <w:widowControl/>
        <w:suppressLineNumbers w:val="0"/>
        <w:ind w:firstLine="560" w:firstLineChars="200"/>
        <w:jc w:val="left"/>
        <w:rPr>
          <w:rFonts w:hint="eastAsia"/>
          <w:sz w:val="28"/>
          <w:szCs w:val="28"/>
          <w:lang w:val="en-US" w:eastAsia="zh-CN"/>
        </w:rPr>
      </w:pPr>
      <w:r>
        <w:rPr>
          <w:rFonts w:hint="default"/>
          <w:sz w:val="28"/>
          <w:szCs w:val="28"/>
          <w:lang w:val="en-US" w:eastAsia="zh-CN"/>
        </w:rPr>
        <w:t xml:space="preserve">2、本科准毕业生提供学校准毕业证明和成绩单 </w:t>
      </w:r>
    </w:p>
    <w:p>
      <w:pPr>
        <w:keepNext w:val="0"/>
        <w:keepLines w:val="0"/>
        <w:widowControl/>
        <w:suppressLineNumbers w:val="0"/>
        <w:ind w:firstLine="560" w:firstLineChars="200"/>
        <w:jc w:val="left"/>
        <w:rPr>
          <w:rFonts w:hint="eastAsia"/>
          <w:sz w:val="28"/>
          <w:szCs w:val="28"/>
          <w:lang w:val="en-US" w:eastAsia="zh-CN"/>
        </w:rPr>
      </w:pPr>
      <w:r>
        <w:rPr>
          <w:rFonts w:hint="default"/>
          <w:sz w:val="28"/>
          <w:szCs w:val="28"/>
          <w:lang w:val="en-US" w:eastAsia="zh-CN"/>
        </w:rPr>
        <w:t>3、录取形式：材料+面试甄选</w:t>
      </w:r>
    </w:p>
    <w:p>
      <w:pPr>
        <w:keepNext w:val="0"/>
        <w:keepLines w:val="0"/>
        <w:widowControl/>
        <w:suppressLineNumbers w:val="0"/>
        <w:jc w:val="left"/>
      </w:pPr>
      <w:r>
        <w:rPr>
          <w:rFonts w:ascii="思源黑体 Bold" w:hAnsi="思源黑体 Bold" w:eastAsia="思源黑体 Bold" w:cs="思源黑体 Bold"/>
          <w:b/>
          <w:color w:val="E78138"/>
          <w:kern w:val="0"/>
          <w:sz w:val="50"/>
          <w:szCs w:val="50"/>
          <w:lang w:val="en-US" w:eastAsia="zh-CN" w:bidi="ar"/>
        </w:rPr>
        <w:t xml:space="preserve">学制、学习形式与费用 </w:t>
      </w:r>
    </w:p>
    <w:p>
      <w:pPr>
        <w:keepNext w:val="0"/>
        <w:keepLines w:val="0"/>
        <w:widowControl/>
        <w:suppressLineNumbers w:val="0"/>
        <w:ind w:firstLine="560" w:firstLineChars="200"/>
        <w:jc w:val="left"/>
        <w:rPr>
          <w:rFonts w:hint="eastAsia"/>
          <w:sz w:val="28"/>
          <w:szCs w:val="28"/>
          <w:lang w:val="en-US" w:eastAsia="zh-CN"/>
        </w:rPr>
      </w:pPr>
      <w:r>
        <w:rPr>
          <w:rFonts w:hint="eastAsia"/>
          <w:sz w:val="28"/>
          <w:szCs w:val="28"/>
          <w:lang w:val="en-US" w:eastAsia="zh-CN"/>
        </w:rPr>
        <w:t xml:space="preserve">学 制：1.5-2年 </w:t>
      </w:r>
    </w:p>
    <w:p>
      <w:pPr>
        <w:keepNext w:val="0"/>
        <w:keepLines w:val="0"/>
        <w:widowControl/>
        <w:suppressLineNumbers w:val="0"/>
        <w:ind w:firstLine="560" w:firstLineChars="200"/>
        <w:jc w:val="left"/>
        <w:rPr>
          <w:rFonts w:hint="eastAsia"/>
          <w:sz w:val="28"/>
          <w:szCs w:val="28"/>
          <w:lang w:val="en-US" w:eastAsia="zh-CN"/>
        </w:rPr>
      </w:pPr>
      <w:r>
        <w:rPr>
          <w:rFonts w:hint="default"/>
          <w:sz w:val="28"/>
          <w:szCs w:val="28"/>
          <w:lang w:val="en-US" w:eastAsia="zh-CN"/>
        </w:rPr>
        <w:t xml:space="preserve">学习形式：全日制或集中授课 </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费 用：申请费1000元人民币，学杂费50万泰铢</w:t>
      </w:r>
    </w:p>
    <w:p>
      <w:pPr>
        <w:keepNext w:val="0"/>
        <w:keepLines w:val="0"/>
        <w:widowControl/>
        <w:suppressLineNumbers w:val="0"/>
        <w:ind w:firstLine="560" w:firstLineChars="200"/>
        <w:jc w:val="left"/>
        <w:rPr>
          <w:sz w:val="28"/>
          <w:szCs w:val="28"/>
        </w:rPr>
      </w:pPr>
      <w:r>
        <w:rPr>
          <w:rFonts w:hint="default"/>
          <w:sz w:val="28"/>
          <w:szCs w:val="28"/>
          <w:lang w:val="en-US" w:eastAsia="zh-CN"/>
        </w:rPr>
        <w:t>全日制注册，集中授课+研究辅导</w:t>
      </w:r>
      <w:r>
        <w:rPr>
          <w:rFonts w:hint="default" w:ascii="思源黑体 Regular" w:hAnsi="思源黑体 Regular" w:eastAsia="思源黑体 Regular" w:cs="思源黑体 Regular"/>
          <w:color w:val="3E3E3F"/>
          <w:kern w:val="0"/>
          <w:sz w:val="28"/>
          <w:szCs w:val="28"/>
          <w:lang w:val="en-US" w:eastAsia="zh-CN" w:bidi="ar"/>
        </w:rPr>
        <w:t xml:space="preserve"> </w:t>
      </w:r>
    </w:p>
    <w:p>
      <w:pPr>
        <w:keepNext w:val="0"/>
        <w:keepLines w:val="0"/>
        <w:widowControl/>
        <w:suppressLineNumbers w:val="0"/>
        <w:jc w:val="left"/>
        <w:rPr>
          <w:rFonts w:hint="default" w:ascii="思源黑体 Bold" w:hAnsi="思源黑体 Bold" w:eastAsia="思源黑体 Bold" w:cs="思源黑体 Bold"/>
          <w:b/>
          <w:color w:val="333363"/>
          <w:kern w:val="0"/>
          <w:sz w:val="28"/>
          <w:szCs w:val="28"/>
          <w:lang w:val="en-US" w:eastAsia="zh-CN" w:bidi="ar"/>
        </w:rPr>
      </w:pPr>
      <w:r>
        <w:rPr>
          <w:rFonts w:hint="default" w:ascii="思源黑体 Bold" w:hAnsi="思源黑体 Bold" w:eastAsia="思源黑体 Bold" w:cs="思源黑体 Bold"/>
          <w:b/>
          <w:color w:val="333363"/>
          <w:kern w:val="0"/>
          <w:sz w:val="28"/>
          <w:szCs w:val="28"/>
          <w:lang w:val="en-US" w:eastAsia="zh-CN" w:bidi="ar"/>
        </w:rPr>
        <w:t>报名与开学</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截止时间：硕博每年5月和11月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开学时间：硕博每年1月和7月</w:t>
      </w:r>
    </w:p>
    <w:p>
      <w:pPr>
        <w:keepNext w:val="0"/>
        <w:keepLines w:val="0"/>
        <w:widowControl/>
        <w:suppressLineNumbers w:val="0"/>
        <w:ind w:firstLine="560" w:firstLineChars="200"/>
        <w:jc w:val="left"/>
        <w:rPr>
          <w:rFonts w:hint="default"/>
          <w:sz w:val="28"/>
          <w:szCs w:val="28"/>
          <w:lang w:val="en-US" w:eastAsia="zh-CN"/>
        </w:rPr>
      </w:pPr>
    </w:p>
    <w:p>
      <w:pPr>
        <w:keepNext w:val="0"/>
        <w:keepLines w:val="0"/>
        <w:widowControl/>
        <w:suppressLineNumbers w:val="0"/>
        <w:jc w:val="left"/>
      </w:pPr>
      <w:r>
        <w:rPr>
          <w:rFonts w:hint="default" w:ascii="思源黑体 Bold" w:hAnsi="思源黑体 Bold" w:eastAsia="思源黑体 Bold" w:cs="思源黑体 Bold"/>
          <w:b/>
          <w:color w:val="E78138"/>
          <w:kern w:val="0"/>
          <w:sz w:val="50"/>
          <w:szCs w:val="50"/>
          <w:lang w:val="en-US" w:eastAsia="zh-CN" w:bidi="ar"/>
        </w:rPr>
        <w:t xml:space="preserve">毕业要求 </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 xml:space="preserve">1、完成6门主修课程和6门选修课程，获得课程至少36学分 </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 xml:space="preserve">2、参加学术会议，撰写硕士阶段论文 </w:t>
      </w:r>
    </w:p>
    <w:p>
      <w:pPr>
        <w:keepNext w:val="0"/>
        <w:keepLines w:val="0"/>
        <w:widowControl/>
        <w:suppressLineNumbers w:val="0"/>
        <w:ind w:firstLine="560" w:firstLineChars="200"/>
        <w:jc w:val="left"/>
        <w:rPr>
          <w:rFonts w:hint="default"/>
          <w:sz w:val="28"/>
          <w:szCs w:val="28"/>
          <w:lang w:val="en-US" w:eastAsia="zh-CN"/>
        </w:rPr>
      </w:pPr>
      <w:r>
        <w:rPr>
          <w:rFonts w:hint="default"/>
          <w:sz w:val="28"/>
          <w:szCs w:val="28"/>
          <w:lang w:val="en-US" w:eastAsia="zh-CN"/>
        </w:rPr>
        <w:t xml:space="preserve">3、完成毕业论文并通过论文答辩 </w:t>
      </w:r>
    </w:p>
    <w:p>
      <w:pPr>
        <w:keepNext w:val="0"/>
        <w:keepLines w:val="0"/>
        <w:widowControl/>
        <w:suppressLineNumbers w:val="0"/>
        <w:jc w:val="left"/>
        <w:rPr>
          <w:sz w:val="28"/>
          <w:szCs w:val="28"/>
        </w:rPr>
      </w:pPr>
      <w:r>
        <w:rPr>
          <w:rFonts w:ascii="思源黑体 Bold" w:hAnsi="思源黑体 Bold" w:eastAsia="思源黑体 Bold" w:cs="思源黑体 Bold"/>
          <w:b/>
          <w:color w:val="E78138"/>
          <w:kern w:val="0"/>
          <w:sz w:val="28"/>
          <w:szCs w:val="28"/>
          <w:lang w:val="en-US" w:eastAsia="zh-CN" w:bidi="ar"/>
        </w:rPr>
        <w:t>申请流程</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提交申请材料和申请费至NCU设立的报名中心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入学申请材料审核通过后预约参加学校在线面试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通过面试可获得NCU正式录取通知书并获得缴费号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办理留学签证并支付第一期学费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 xml:space="preserve">所属报名中心预订机票、住宿和保险参与计划 </w:t>
      </w:r>
    </w:p>
    <w:p>
      <w:pPr>
        <w:keepNext w:val="0"/>
        <w:keepLines w:val="0"/>
        <w:widowControl/>
        <w:suppressLineNumbers w:val="0"/>
        <w:jc w:val="left"/>
        <w:rPr>
          <w:rFonts w:hint="default"/>
          <w:sz w:val="28"/>
          <w:szCs w:val="28"/>
          <w:lang w:val="en-US" w:eastAsia="zh-CN"/>
        </w:rPr>
      </w:pPr>
      <w:r>
        <w:rPr>
          <w:rFonts w:hint="default"/>
          <w:sz w:val="28"/>
          <w:szCs w:val="28"/>
          <w:lang w:val="en-US" w:eastAsia="zh-CN"/>
        </w:rPr>
        <w:t>赴泰国到校办理入学报到和住宿手续，开启留学生活</w:t>
      </w:r>
    </w:p>
    <w:p>
      <w:pPr>
        <w:ind w:firstLine="560" w:firstLineChars="200"/>
        <w:jc w:val="left"/>
        <w:rPr>
          <w:rFonts w:hint="eastAsia"/>
          <w:sz w:val="28"/>
          <w:szCs w:val="36"/>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黑体 Bold">
    <w:altName w:val="黑体"/>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047" w:usb1="00000000" w:usb2="00000000" w:usb3="00000000" w:csb0="00000001" w:csb1="00000000"/>
  </w:font>
  <w:font w:name="思源黑体 Regular">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C7A66"/>
    <w:rsid w:val="729C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2020-12-17T09:46:00Z</dcterms:created>
  <dc:creator>杜新敏</dc:creator>
  <cp:lastModifiedBy>杜新敏</cp:lastModifiedBy>
  <dcterms:modified xsi:type="dcterms:W3CDTF">2020-12-17T09:52:02Z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