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思源黑体 Bold" w:hAnsi="思源黑体 Bold" w:eastAsia="思源黑体 Bold" w:cs="思源黑体 Bold"/>
          <w:b/>
          <w:color w:val="333363"/>
          <w:kern w:val="0"/>
          <w:sz w:val="36"/>
          <w:szCs w:val="36"/>
          <w:lang w:val="en-US" w:eastAsia="zh-CN" w:bidi="ar"/>
        </w:rPr>
      </w:pPr>
      <w:r>
        <w:rPr>
          <w:rFonts w:hint="eastAsia" w:ascii="思源黑体 Bold" w:hAnsi="思源黑体 Bold" w:eastAsia="思源黑体 Bold" w:cs="思源黑体 Bold"/>
          <w:b/>
          <w:color w:val="333363"/>
          <w:kern w:val="0"/>
          <w:sz w:val="36"/>
          <w:szCs w:val="36"/>
          <w:lang w:val="en-US" w:eastAsia="zh-CN" w:bidi="ar"/>
        </w:rPr>
        <w:t>泰国北清迈大学工商管理博士</w:t>
      </w:r>
    </w:p>
    <w:p>
      <w:pPr>
        <w:jc w:val="left"/>
        <w:rPr>
          <w:rFonts w:hint="eastAsia"/>
          <w:sz w:val="28"/>
          <w:szCs w:val="36"/>
        </w:rPr>
      </w:pPr>
      <w:bookmarkStart w:id="0" w:name="_GoBack"/>
      <w:bookmarkEnd w:id="0"/>
      <w:r>
        <w:rPr>
          <w:rFonts w:hint="eastAsia"/>
          <w:sz w:val="28"/>
          <w:szCs w:val="36"/>
        </w:rPr>
        <w:t>学校介绍</w:t>
      </w:r>
    </w:p>
    <w:p>
      <w:pPr>
        <w:jc w:val="left"/>
        <w:rPr>
          <w:rFonts w:hint="eastAsia"/>
          <w:sz w:val="28"/>
          <w:szCs w:val="36"/>
        </w:rPr>
      </w:pPr>
      <w:r>
        <w:rPr>
          <w:rFonts w:hint="eastAsia"/>
          <w:sz w:val="28"/>
          <w:szCs w:val="36"/>
        </w:rPr>
        <w:t>北清迈大学Wna-tinghaihienrstp) 简称:NoU;创办于1999年,座落于泰国清迈府杭东区,校园占地1000多亩,花园式的校园环境清丽静说。NCu目前拥有6个学院.20多个专业.10个硕土点和2个博士点是一所国际型小众精品大学;除了秦国本地学生。还有来自美国。加拿大本芬兰、瑞典、荷兰、中国.韩国以及印度等国家的留学生,不同的学院采用不同种类语进行教学,有泰文课程。英文课程和中文课程。</w:t>
      </w:r>
    </w:p>
    <w:p>
      <w:pPr>
        <w:ind w:firstLine="560" w:firstLineChars="200"/>
        <w:jc w:val="left"/>
        <w:rPr>
          <w:rFonts w:hint="eastAsia"/>
          <w:sz w:val="28"/>
          <w:szCs w:val="36"/>
        </w:rPr>
      </w:pPr>
      <w:r>
        <w:rPr>
          <w:rFonts w:hint="eastAsia"/>
          <w:sz w:val="28"/>
          <w:szCs w:val="36"/>
        </w:rPr>
        <w:t>二十年来，NCu以培养学生的仁义道德为座右铭,注重培养和提升学生的个人修养和实践能力,围绕此目标培养了众多稳重.正直.有自己的专业立场,成为科学与智慧的代表的优秀毕业生。在国际合作方面,与美国。中国.芬兰。瑞典。英国. 荷兰等国知名大学及科研机构进行学科合作,共同进行学料研究.教师及学生交换,NCu的学位及学分得到世界各国承认。根据奉王国教育部与中华人民共和国教育部2007年5月胜署的《关于相互承认高等教育学历和学位的协定的适用范围，北清迈大学属于奉国政府认可的有权授予学位及具有研究生教育资质的高等教育机构。已列入中国政府承认的有高等学历教育资质和学位授予权的奉国高校目录,在中国人民共和国驻泰教育组网站泰国高校名录中编号117,中华人民共和国教育部对奉国北清迈大学颁发的学位给予官方认定。</w:t>
      </w:r>
    </w:p>
    <w:p>
      <w:pPr>
        <w:ind w:firstLine="560" w:firstLineChars="200"/>
        <w:jc w:val="left"/>
        <w:rPr>
          <w:rFonts w:hint="eastAsia"/>
          <w:sz w:val="28"/>
          <w:szCs w:val="36"/>
        </w:rPr>
      </w:pPr>
    </w:p>
    <w:p>
      <w:pPr>
        <w:jc w:val="both"/>
        <w:rPr>
          <w:rFonts w:hint="eastAsia"/>
          <w:sz w:val="40"/>
          <w:szCs w:val="48"/>
        </w:rPr>
      </w:pPr>
    </w:p>
    <w:p>
      <w:pPr>
        <w:keepNext w:val="0"/>
        <w:keepLines w:val="0"/>
        <w:widowControl/>
        <w:suppressLineNumbers w:val="0"/>
        <w:jc w:val="center"/>
        <w:rPr>
          <w:rFonts w:hint="eastAsia" w:ascii="思源黑体 Bold" w:hAnsi="思源黑体 Bold" w:eastAsia="思源黑体 Bold" w:cs="思源黑体 Bold"/>
          <w:b/>
          <w:color w:val="333363"/>
          <w:kern w:val="0"/>
          <w:sz w:val="36"/>
          <w:szCs w:val="36"/>
          <w:lang w:val="en-US" w:eastAsia="zh-CN" w:bidi="ar"/>
        </w:rPr>
      </w:pPr>
    </w:p>
    <w:p>
      <w:pPr>
        <w:keepNext w:val="0"/>
        <w:keepLines w:val="0"/>
        <w:widowControl/>
        <w:suppressLineNumbers w:val="0"/>
        <w:jc w:val="left"/>
        <w:rPr>
          <w:rFonts w:hint="eastAsia" w:ascii="思源黑体 Bold" w:hAnsi="思源黑体 Bold" w:eastAsia="思源黑体 Bold" w:cs="思源黑体 Bold"/>
          <w:b/>
          <w:color w:val="333363"/>
          <w:kern w:val="0"/>
          <w:sz w:val="28"/>
          <w:szCs w:val="28"/>
          <w:lang w:val="en-US" w:eastAsia="zh-CN" w:bidi="ar"/>
        </w:rPr>
      </w:pPr>
      <w:r>
        <w:rPr>
          <w:rFonts w:hint="eastAsia" w:ascii="思源黑体 Bold" w:hAnsi="思源黑体 Bold" w:eastAsia="思源黑体 Bold" w:cs="思源黑体 Bold"/>
          <w:b/>
          <w:color w:val="333363"/>
          <w:kern w:val="0"/>
          <w:sz w:val="28"/>
          <w:szCs w:val="28"/>
          <w:lang w:val="en-US" w:eastAsia="zh-CN" w:bidi="ar"/>
        </w:rPr>
        <w:t>博士培养背景</w:t>
      </w:r>
    </w:p>
    <w:p>
      <w:pPr>
        <w:keepNext w:val="0"/>
        <w:keepLines w:val="0"/>
        <w:widowControl/>
        <w:suppressLineNumbers w:val="0"/>
        <w:ind w:firstLine="560" w:firstLineChars="200"/>
        <w:jc w:val="left"/>
        <w:rPr>
          <w:rFonts w:hint="default"/>
          <w:sz w:val="28"/>
          <w:szCs w:val="28"/>
          <w:lang w:val="en-US" w:eastAsia="zh-CN"/>
        </w:rPr>
      </w:pPr>
      <w:r>
        <w:rPr>
          <w:rFonts w:hint="default"/>
          <w:sz w:val="28"/>
          <w:szCs w:val="28"/>
          <w:lang w:val="en-US" w:eastAsia="zh-CN"/>
        </w:rPr>
        <w:t xml:space="preserve">创新培养计划：NCU 整合了最完整的管理专业课程，包括组织运维、营销、战略管理、组织行为与人力资源、决策，设计出了完整的跨领域商业和创新管理的课程体系。 </w:t>
      </w:r>
    </w:p>
    <w:p>
      <w:pPr>
        <w:keepNext w:val="0"/>
        <w:keepLines w:val="0"/>
        <w:widowControl/>
        <w:suppressLineNumbers w:val="0"/>
        <w:ind w:firstLine="560" w:firstLineChars="200"/>
        <w:jc w:val="left"/>
        <w:rPr>
          <w:rFonts w:hint="default"/>
          <w:sz w:val="28"/>
          <w:szCs w:val="28"/>
          <w:lang w:val="en-US" w:eastAsia="zh-CN"/>
        </w:rPr>
      </w:pPr>
      <w:r>
        <w:rPr>
          <w:rFonts w:hint="default"/>
          <w:sz w:val="28"/>
          <w:szCs w:val="28"/>
          <w:lang w:val="en-US" w:eastAsia="zh-CN"/>
        </w:rPr>
        <w:t>理论与实务兼具的师资阵容：本院的授课教授均毕业或曾执教于名校，且具有商业与创新管理的研究特长，部分教授在其研究领域内也是具有相当的权威性，发表过多篇 SSCI 论文，另外本院还邀请各位商界精英为学生分享实战案例。</w:t>
      </w:r>
    </w:p>
    <w:p>
      <w:pPr>
        <w:keepNext w:val="0"/>
        <w:keepLines w:val="0"/>
        <w:widowControl/>
        <w:suppressLineNumbers w:val="0"/>
        <w:ind w:firstLine="560" w:firstLineChars="200"/>
        <w:jc w:val="left"/>
        <w:rPr>
          <w:rFonts w:hint="eastAsia"/>
          <w:sz w:val="28"/>
          <w:szCs w:val="28"/>
          <w:lang w:val="en-US" w:eastAsia="zh-CN"/>
        </w:rPr>
      </w:pPr>
      <w:r>
        <w:rPr>
          <w:rFonts w:hint="default"/>
          <w:sz w:val="28"/>
          <w:szCs w:val="28"/>
          <w:lang w:val="en-US" w:eastAsia="zh-CN"/>
        </w:rPr>
        <w:t>提供优良的研究环境：秉承北清迈大学的优良学术传承，本院博士班学生在研究环境上也有得天独厚的学习资源，除了跨领域的课程、雄厚的师资、本院还安排了学生赴中国、日本、欧洲进行访问学习，安排学生在读期间每年参加一次国际学术会议</w:t>
      </w:r>
      <w:r>
        <w:rPr>
          <w:rFonts w:hint="eastAsia"/>
          <w:sz w:val="28"/>
          <w:szCs w:val="28"/>
          <w:lang w:val="en-US" w:eastAsia="zh-CN"/>
        </w:rPr>
        <w:t>。</w:t>
      </w:r>
    </w:p>
    <w:p>
      <w:pPr>
        <w:keepNext w:val="0"/>
        <w:keepLines w:val="0"/>
        <w:widowControl/>
        <w:suppressLineNumbers w:val="0"/>
        <w:jc w:val="left"/>
        <w:rPr>
          <w:rFonts w:hint="default" w:ascii="思源黑体 Bold" w:hAnsi="思源黑体 Bold" w:eastAsia="思源黑体 Bold" w:cs="思源黑体 Bold"/>
          <w:b/>
          <w:color w:val="333363"/>
          <w:kern w:val="0"/>
          <w:sz w:val="28"/>
          <w:szCs w:val="28"/>
          <w:lang w:val="en-US" w:eastAsia="zh-CN" w:bidi="ar"/>
        </w:rPr>
      </w:pPr>
      <w:r>
        <w:rPr>
          <w:rFonts w:hint="default" w:ascii="思源黑体 Bold" w:hAnsi="思源黑体 Bold" w:eastAsia="思源黑体 Bold" w:cs="思源黑体 Bold"/>
          <w:b/>
          <w:color w:val="333363"/>
          <w:kern w:val="0"/>
          <w:sz w:val="28"/>
          <w:szCs w:val="28"/>
          <w:lang w:val="en-US" w:eastAsia="zh-CN" w:bidi="ar"/>
        </w:rPr>
        <w:t>工商管理博士(DBA)专业</w:t>
      </w:r>
    </w:p>
    <w:p>
      <w:pPr>
        <w:keepNext w:val="0"/>
        <w:keepLines w:val="0"/>
        <w:widowControl/>
        <w:suppressLineNumbers w:val="0"/>
        <w:ind w:firstLine="560" w:firstLineChars="200"/>
        <w:jc w:val="left"/>
        <w:rPr>
          <w:rFonts w:hint="default"/>
          <w:sz w:val="28"/>
          <w:szCs w:val="28"/>
          <w:lang w:val="en-US" w:eastAsia="zh-CN"/>
        </w:rPr>
      </w:pPr>
      <w:r>
        <w:rPr>
          <w:rFonts w:hint="default"/>
          <w:sz w:val="28"/>
          <w:szCs w:val="28"/>
          <w:lang w:val="en-US" w:eastAsia="zh-CN"/>
        </w:rPr>
        <w:t xml:space="preserve">全球背景下 NCU 的 DBA 专业，融汇东西，汇通中泰，致力于在“一带一路”倡议和泰国 4.0 经济发展战略背景下，培养新一代学者型企业家和金融家，发展“管理的中国思想”, 成就“企业思想家”，培养企业商业理念和管理思想的源泉及传递者，探索经济、金融全球化和区域经济一体化下的企业发展新模式，探索产业和金融协同发展的新方法。 </w:t>
      </w:r>
    </w:p>
    <w:p>
      <w:pPr>
        <w:keepNext w:val="0"/>
        <w:keepLines w:val="0"/>
        <w:widowControl/>
        <w:suppressLineNumbers w:val="0"/>
        <w:jc w:val="left"/>
        <w:rPr>
          <w:sz w:val="28"/>
          <w:szCs w:val="28"/>
        </w:rPr>
      </w:pPr>
      <w:r>
        <w:rPr>
          <w:rFonts w:ascii="思源黑体 Bold" w:hAnsi="思源黑体 Bold" w:eastAsia="思源黑体 Bold" w:cs="思源黑体 Bold"/>
          <w:b/>
          <w:color w:val="333363"/>
          <w:kern w:val="0"/>
          <w:sz w:val="28"/>
          <w:szCs w:val="28"/>
          <w:lang w:val="en-US" w:eastAsia="zh-CN" w:bidi="ar"/>
        </w:rPr>
        <w:t xml:space="preserve">培养理念 </w:t>
      </w:r>
    </w:p>
    <w:p>
      <w:pPr>
        <w:keepNext w:val="0"/>
        <w:keepLines w:val="0"/>
        <w:widowControl/>
        <w:suppressLineNumbers w:val="0"/>
        <w:ind w:firstLine="560" w:firstLineChars="200"/>
        <w:jc w:val="left"/>
        <w:rPr>
          <w:rFonts w:hint="default"/>
          <w:sz w:val="28"/>
          <w:szCs w:val="28"/>
          <w:lang w:val="en-US" w:eastAsia="zh-CN"/>
        </w:rPr>
      </w:pPr>
      <w:r>
        <w:rPr>
          <w:rFonts w:hint="default"/>
          <w:sz w:val="28"/>
          <w:szCs w:val="28"/>
          <w:lang w:val="en-US" w:eastAsia="zh-CN"/>
        </w:rPr>
        <w:t xml:space="preserve">放眼世界，随着全球化和区域经济一体化引发传统行业巨大变革， 企业轻松增长的时代已经结束，即使是创新所带来的快速增长也遇到创新力可持续性的难题，片面追求短期经济效益不可长久。因循守旧、故步自封不可长久，忽视企业的社会属性不可长久。随着中国产业转型步伐的加快，大量劳动密集型企业进入东南亚，因此，在经济新常态下，企业最高决策者的眼光应更为开阔，应放眼全球，应立足长远，研究是制定制度性决策过程中不可缺少的环节，重视决策研究，从而制定企业可持续发展战略。 </w:t>
      </w:r>
    </w:p>
    <w:p>
      <w:pPr>
        <w:keepNext w:val="0"/>
        <w:keepLines w:val="0"/>
        <w:widowControl/>
        <w:suppressLineNumbers w:val="0"/>
        <w:jc w:val="left"/>
        <w:rPr>
          <w:sz w:val="28"/>
          <w:szCs w:val="28"/>
        </w:rPr>
      </w:pPr>
      <w:r>
        <w:rPr>
          <w:rFonts w:ascii="思源黑体 Bold" w:hAnsi="思源黑体 Bold" w:eastAsia="思源黑体 Bold" w:cs="思源黑体 Bold"/>
          <w:b/>
          <w:color w:val="333363"/>
          <w:kern w:val="0"/>
          <w:sz w:val="28"/>
          <w:szCs w:val="28"/>
          <w:lang w:val="en-US" w:eastAsia="zh-CN" w:bidi="ar"/>
        </w:rPr>
        <w:t>研究方向</w:t>
      </w:r>
    </w:p>
    <w:p>
      <w:pPr>
        <w:keepNext w:val="0"/>
        <w:keepLines w:val="0"/>
        <w:widowControl/>
        <w:suppressLineNumbers w:val="0"/>
        <w:ind w:firstLine="560" w:firstLineChars="200"/>
        <w:jc w:val="left"/>
        <w:rPr>
          <w:rFonts w:hint="default" w:ascii="思源黑体 Bold" w:hAnsi="思源黑体 Bold" w:eastAsia="思源黑体 Bold" w:cs="思源黑体 Bold"/>
          <w:b/>
          <w:color w:val="E78138"/>
          <w:kern w:val="0"/>
          <w:sz w:val="28"/>
          <w:szCs w:val="28"/>
          <w:lang w:val="en-US" w:eastAsia="zh-CN" w:bidi="ar"/>
        </w:rPr>
      </w:pPr>
      <w:r>
        <w:rPr>
          <w:sz w:val="28"/>
          <w:szCs w:val="28"/>
        </w:rPr>
        <w:drawing>
          <wp:inline distT="0" distB="0" distL="114300" distR="114300">
            <wp:extent cx="3872865" cy="1314450"/>
            <wp:effectExtent l="0" t="0" r="133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872865" cy="1314450"/>
                    </a:xfrm>
                    <a:prstGeom prst="rect">
                      <a:avLst/>
                    </a:prstGeom>
                    <a:noFill/>
                    <a:ln>
                      <a:noFill/>
                    </a:ln>
                  </pic:spPr>
                </pic:pic>
              </a:graphicData>
            </a:graphic>
          </wp:inline>
        </w:drawing>
      </w:r>
    </w:p>
    <w:p>
      <w:pPr>
        <w:keepNext w:val="0"/>
        <w:keepLines w:val="0"/>
        <w:widowControl/>
        <w:suppressLineNumbers w:val="0"/>
        <w:jc w:val="left"/>
        <w:rPr>
          <w:sz w:val="28"/>
          <w:szCs w:val="28"/>
        </w:rPr>
      </w:pPr>
      <w:r>
        <w:rPr>
          <w:rFonts w:ascii="思源黑体 Bold" w:hAnsi="思源黑体 Bold" w:eastAsia="思源黑体 Bold" w:cs="思源黑体 Bold"/>
          <w:b/>
          <w:color w:val="333363"/>
          <w:kern w:val="0"/>
          <w:sz w:val="28"/>
          <w:szCs w:val="28"/>
          <w:lang w:val="en-US" w:eastAsia="zh-CN" w:bidi="ar"/>
        </w:rPr>
        <w:t>课程体系</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widowControl/>
              <w:suppressLineNumbers w:val="0"/>
              <w:jc w:val="left"/>
              <w:rPr>
                <w:rFonts w:hint="default"/>
                <w:sz w:val="28"/>
                <w:szCs w:val="28"/>
                <w:lang w:val="en-US" w:eastAsia="zh-CN"/>
              </w:rPr>
            </w:pPr>
            <w:r>
              <w:rPr>
                <w:rFonts w:hint="default"/>
                <w:sz w:val="28"/>
                <w:szCs w:val="28"/>
                <w:lang w:val="en-US" w:eastAsia="zh-CN"/>
              </w:rPr>
              <w:t>认识论与研究设计</w:t>
            </w:r>
          </w:p>
        </w:tc>
        <w:tc>
          <w:tcPr>
            <w:tcW w:w="2841" w:type="dxa"/>
          </w:tcPr>
          <w:p>
            <w:pPr>
              <w:keepNext w:val="0"/>
              <w:keepLines w:val="0"/>
              <w:widowControl/>
              <w:suppressLineNumbers w:val="0"/>
              <w:ind w:firstLine="560" w:firstLineChars="200"/>
              <w:jc w:val="left"/>
              <w:rPr>
                <w:rFonts w:hint="default"/>
                <w:sz w:val="28"/>
                <w:szCs w:val="28"/>
                <w:lang w:val="en-US" w:eastAsia="zh-CN"/>
              </w:rPr>
            </w:pPr>
            <w:r>
              <w:rPr>
                <w:rFonts w:hint="default"/>
                <w:sz w:val="28"/>
                <w:szCs w:val="28"/>
                <w:lang w:val="en-US" w:eastAsia="zh-CN"/>
              </w:rPr>
              <w:t>定量研究方法</w:t>
            </w:r>
          </w:p>
        </w:tc>
        <w:tc>
          <w:tcPr>
            <w:tcW w:w="2841" w:type="dxa"/>
          </w:tcPr>
          <w:p>
            <w:pPr>
              <w:keepNext w:val="0"/>
              <w:keepLines w:val="0"/>
              <w:widowControl/>
              <w:suppressLineNumbers w:val="0"/>
              <w:ind w:firstLine="560" w:firstLineChars="200"/>
              <w:jc w:val="left"/>
              <w:rPr>
                <w:rFonts w:hint="default"/>
                <w:sz w:val="28"/>
                <w:szCs w:val="28"/>
                <w:lang w:val="en-US" w:eastAsia="zh-CN"/>
              </w:rPr>
            </w:pPr>
            <w:r>
              <w:rPr>
                <w:rFonts w:hint="default"/>
                <w:sz w:val="28"/>
                <w:szCs w:val="28"/>
                <w:lang w:val="en-US" w:eastAsia="zh-CN"/>
              </w:rPr>
              <w:t>居性研究方法</w:t>
            </w:r>
          </w:p>
        </w:tc>
      </w:tr>
    </w:tbl>
    <w:p>
      <w:pPr>
        <w:keepNext w:val="0"/>
        <w:keepLines w:val="0"/>
        <w:widowControl/>
        <w:suppressLineNumbers w:val="0"/>
        <w:jc w:val="left"/>
        <w:rPr>
          <w:rFonts w:ascii="思源黑体 Bold" w:hAnsi="思源黑体 Bold" w:eastAsia="思源黑体 Bold" w:cs="思源黑体 Bold"/>
          <w:b/>
          <w:color w:val="333363"/>
          <w:kern w:val="0"/>
          <w:sz w:val="28"/>
          <w:szCs w:val="28"/>
          <w:lang w:val="en-US" w:eastAsia="zh-CN" w:bidi="ar"/>
        </w:rPr>
      </w:pPr>
      <w:r>
        <w:rPr>
          <w:rFonts w:ascii="思源黑体 Bold" w:hAnsi="思源黑体 Bold" w:eastAsia="思源黑体 Bold" w:cs="思源黑体 Bold"/>
          <w:b/>
          <w:color w:val="333363"/>
          <w:kern w:val="0"/>
          <w:sz w:val="28"/>
          <w:szCs w:val="28"/>
          <w:lang w:val="en-US" w:eastAsia="zh-CN" w:bidi="ar"/>
        </w:rPr>
        <w:t>专业课程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widowControl/>
              <w:suppressLineNumbers w:val="0"/>
              <w:jc w:val="left"/>
              <w:rPr>
                <w:rFonts w:hint="default"/>
                <w:sz w:val="28"/>
                <w:szCs w:val="28"/>
                <w:lang w:val="en-US" w:eastAsia="zh-CN"/>
              </w:rPr>
            </w:pPr>
            <w:r>
              <w:rPr>
                <w:rFonts w:hint="default"/>
                <w:sz w:val="28"/>
                <w:szCs w:val="28"/>
                <w:lang w:val="en-US" w:eastAsia="zh-CN"/>
              </w:rPr>
              <w:t>可持坡发展研究</w:t>
            </w:r>
          </w:p>
        </w:tc>
        <w:tc>
          <w:tcPr>
            <w:tcW w:w="2841" w:type="dxa"/>
          </w:tcPr>
          <w:p>
            <w:pPr>
              <w:keepNext w:val="0"/>
              <w:keepLines w:val="0"/>
              <w:widowControl/>
              <w:suppressLineNumbers w:val="0"/>
              <w:jc w:val="left"/>
              <w:rPr>
                <w:rFonts w:hint="default"/>
                <w:sz w:val="28"/>
                <w:szCs w:val="28"/>
                <w:lang w:val="en-US" w:eastAsia="zh-CN"/>
              </w:rPr>
            </w:pPr>
            <w:r>
              <w:rPr>
                <w:rFonts w:hint="default"/>
                <w:sz w:val="28"/>
                <w:szCs w:val="28"/>
                <w:lang w:val="en-US" w:eastAsia="zh-CN"/>
              </w:rPr>
              <w:t>区域地济体化研究</w:t>
            </w:r>
          </w:p>
        </w:tc>
        <w:tc>
          <w:tcPr>
            <w:tcW w:w="2841" w:type="dxa"/>
          </w:tcPr>
          <w:p>
            <w:pPr>
              <w:keepNext w:val="0"/>
              <w:keepLines w:val="0"/>
              <w:widowControl/>
              <w:suppressLineNumbers w:val="0"/>
              <w:jc w:val="left"/>
              <w:rPr>
                <w:rFonts w:hint="default"/>
                <w:sz w:val="28"/>
                <w:szCs w:val="28"/>
                <w:lang w:val="en-US" w:eastAsia="zh-CN"/>
              </w:rPr>
            </w:pPr>
            <w:r>
              <w:rPr>
                <w:rFonts w:hint="default"/>
                <w:sz w:val="28"/>
                <w:szCs w:val="28"/>
                <w:lang w:val="en-US" w:eastAsia="zh-CN"/>
              </w:rPr>
              <w:t>公司治理研究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widowControl/>
              <w:suppressLineNumbers w:val="0"/>
              <w:jc w:val="left"/>
              <w:rPr>
                <w:rFonts w:hint="default"/>
                <w:sz w:val="28"/>
                <w:szCs w:val="28"/>
                <w:lang w:val="en-US" w:eastAsia="zh-CN"/>
              </w:rPr>
            </w:pPr>
            <w:r>
              <w:rPr>
                <w:rFonts w:hint="default"/>
                <w:sz w:val="28"/>
                <w:szCs w:val="28"/>
                <w:lang w:val="en-US" w:eastAsia="zh-CN"/>
              </w:rPr>
              <w:t>战略与创新模式研究</w:t>
            </w:r>
          </w:p>
          <w:p>
            <w:pPr>
              <w:keepNext w:val="0"/>
              <w:keepLines w:val="0"/>
              <w:widowControl/>
              <w:suppressLineNumbers w:val="0"/>
              <w:ind w:firstLine="560" w:firstLineChars="200"/>
              <w:jc w:val="left"/>
              <w:rPr>
                <w:rFonts w:hint="default"/>
                <w:sz w:val="28"/>
                <w:szCs w:val="28"/>
                <w:lang w:val="en-US" w:eastAsia="zh-CN"/>
              </w:rPr>
            </w:pPr>
          </w:p>
        </w:tc>
        <w:tc>
          <w:tcPr>
            <w:tcW w:w="2841" w:type="dxa"/>
          </w:tcPr>
          <w:p>
            <w:pPr>
              <w:keepNext w:val="0"/>
              <w:keepLines w:val="0"/>
              <w:widowControl/>
              <w:suppressLineNumbers w:val="0"/>
              <w:jc w:val="left"/>
              <w:rPr>
                <w:rFonts w:hint="default"/>
                <w:sz w:val="28"/>
                <w:szCs w:val="28"/>
                <w:lang w:val="en-US" w:eastAsia="zh-CN"/>
              </w:rPr>
            </w:pPr>
            <w:r>
              <w:rPr>
                <w:rFonts w:hint="default"/>
                <w:sz w:val="28"/>
                <w:szCs w:val="28"/>
                <w:lang w:val="en-US" w:eastAsia="zh-CN"/>
              </w:rPr>
              <w:t>风险管理与决策研究</w:t>
            </w:r>
          </w:p>
          <w:p>
            <w:pPr>
              <w:keepNext w:val="0"/>
              <w:keepLines w:val="0"/>
              <w:widowControl/>
              <w:suppressLineNumbers w:val="0"/>
              <w:ind w:firstLine="560" w:firstLineChars="200"/>
              <w:jc w:val="left"/>
              <w:rPr>
                <w:rFonts w:hint="default"/>
                <w:sz w:val="28"/>
                <w:szCs w:val="28"/>
                <w:lang w:val="en-US" w:eastAsia="zh-CN"/>
              </w:rPr>
            </w:pPr>
          </w:p>
        </w:tc>
        <w:tc>
          <w:tcPr>
            <w:tcW w:w="2841" w:type="dxa"/>
          </w:tcPr>
          <w:p>
            <w:pPr>
              <w:keepNext w:val="0"/>
              <w:keepLines w:val="0"/>
              <w:widowControl/>
              <w:suppressLineNumbers w:val="0"/>
              <w:jc w:val="left"/>
              <w:rPr>
                <w:rFonts w:hint="default"/>
                <w:sz w:val="28"/>
                <w:szCs w:val="28"/>
                <w:lang w:val="en-US" w:eastAsia="zh-CN"/>
              </w:rPr>
            </w:pPr>
            <w:r>
              <w:rPr>
                <w:rFonts w:hint="default"/>
                <w:sz w:val="28"/>
                <w:szCs w:val="28"/>
                <w:lang w:val="en-US" w:eastAsia="zh-CN"/>
              </w:rPr>
              <w:t xml:space="preserve">跨文化管理研究 </w:t>
            </w:r>
          </w:p>
          <w:p>
            <w:pPr>
              <w:keepNext w:val="0"/>
              <w:keepLines w:val="0"/>
              <w:widowControl/>
              <w:suppressLineNumbers w:val="0"/>
              <w:ind w:firstLine="560" w:firstLineChars="200"/>
              <w:jc w:val="left"/>
              <w:rPr>
                <w:rFonts w:hint="default"/>
                <w:sz w:val="28"/>
                <w:szCs w:val="28"/>
                <w:lang w:val="en-US" w:eastAsia="zh-CN"/>
              </w:rPr>
            </w:pPr>
          </w:p>
        </w:tc>
      </w:tr>
    </w:tbl>
    <w:p>
      <w:pPr>
        <w:keepNext w:val="0"/>
        <w:keepLines w:val="0"/>
        <w:widowControl/>
        <w:suppressLineNumbers w:val="0"/>
        <w:jc w:val="left"/>
        <w:rPr>
          <w:rFonts w:hint="default"/>
          <w:b w:val="0"/>
          <w:bCs w:val="0"/>
          <w:sz w:val="28"/>
          <w:szCs w:val="28"/>
          <w:lang w:val="en-US" w:eastAsia="zh-CN"/>
        </w:rPr>
      </w:pPr>
    </w:p>
    <w:p>
      <w:pPr>
        <w:keepNext w:val="0"/>
        <w:keepLines w:val="0"/>
        <w:widowControl/>
        <w:suppressLineNumbers w:val="0"/>
        <w:jc w:val="left"/>
        <w:rPr>
          <w:rFonts w:ascii="思源黑体 Bold" w:hAnsi="思源黑体 Bold" w:eastAsia="思源黑体 Bold" w:cs="思源黑体 Bold"/>
          <w:b/>
          <w:color w:val="333363"/>
          <w:kern w:val="0"/>
          <w:sz w:val="28"/>
          <w:szCs w:val="28"/>
          <w:lang w:val="en-US" w:eastAsia="zh-CN" w:bidi="ar"/>
        </w:rPr>
      </w:pPr>
      <w:r>
        <w:rPr>
          <w:rFonts w:ascii="思源黑体 Bold" w:hAnsi="思源黑体 Bold" w:eastAsia="思源黑体 Bold" w:cs="思源黑体 Bold"/>
          <w:b/>
          <w:color w:val="333363"/>
          <w:kern w:val="0"/>
          <w:sz w:val="28"/>
          <w:szCs w:val="28"/>
          <w:lang w:val="en-US" w:eastAsia="zh-CN" w:bidi="ar"/>
        </w:rPr>
        <w:t>方向课程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2840" w:type="dxa"/>
          </w:tcPr>
          <w:p>
            <w:pPr>
              <w:keepNext w:val="0"/>
              <w:keepLines w:val="0"/>
              <w:widowControl/>
              <w:suppressLineNumbers w:val="0"/>
              <w:jc w:val="left"/>
              <w:rPr>
                <w:rFonts w:hint="default"/>
                <w:sz w:val="28"/>
                <w:szCs w:val="28"/>
                <w:lang w:val="en-US" w:eastAsia="zh-CN"/>
              </w:rPr>
            </w:pPr>
            <w:r>
              <w:rPr>
                <w:rFonts w:hint="eastAsia"/>
                <w:sz w:val="28"/>
                <w:szCs w:val="28"/>
                <w:lang w:val="en-US" w:eastAsia="zh-CN"/>
              </w:rPr>
              <w:t>金</w:t>
            </w:r>
            <w:r>
              <w:rPr>
                <w:rFonts w:hint="default"/>
                <w:sz w:val="28"/>
                <w:szCs w:val="28"/>
                <w:lang w:val="en-US" w:eastAsia="zh-CN"/>
              </w:rPr>
              <w:t>融与投肉监管法律前的研究</w:t>
            </w:r>
          </w:p>
          <w:p>
            <w:pPr>
              <w:keepNext w:val="0"/>
              <w:keepLines w:val="0"/>
              <w:widowControl/>
              <w:suppressLineNumbers w:val="0"/>
              <w:ind w:firstLine="560" w:firstLineChars="200"/>
              <w:jc w:val="left"/>
              <w:rPr>
                <w:rFonts w:hint="default"/>
                <w:sz w:val="28"/>
                <w:szCs w:val="28"/>
                <w:lang w:val="en-US" w:eastAsia="zh-CN"/>
              </w:rPr>
            </w:pPr>
          </w:p>
        </w:tc>
        <w:tc>
          <w:tcPr>
            <w:tcW w:w="2841" w:type="dxa"/>
          </w:tcPr>
          <w:p>
            <w:pPr>
              <w:keepNext w:val="0"/>
              <w:keepLines w:val="0"/>
              <w:widowControl/>
              <w:suppressLineNumbers w:val="0"/>
              <w:jc w:val="left"/>
              <w:rPr>
                <w:rFonts w:hint="default"/>
                <w:sz w:val="28"/>
                <w:szCs w:val="28"/>
                <w:lang w:val="en-US" w:eastAsia="zh-CN"/>
              </w:rPr>
            </w:pPr>
            <w:r>
              <w:rPr>
                <w:rFonts w:hint="default"/>
                <w:sz w:val="28"/>
                <w:szCs w:val="28"/>
                <w:lang w:val="en-US" w:eastAsia="zh-CN"/>
              </w:rPr>
              <w:t>巴塞尔协仅时没研究</w:t>
            </w:r>
          </w:p>
          <w:p>
            <w:pPr>
              <w:keepNext w:val="0"/>
              <w:keepLines w:val="0"/>
              <w:widowControl/>
              <w:suppressLineNumbers w:val="0"/>
              <w:ind w:firstLine="560" w:firstLineChars="200"/>
              <w:jc w:val="left"/>
              <w:rPr>
                <w:rFonts w:hint="default"/>
                <w:sz w:val="28"/>
                <w:szCs w:val="28"/>
                <w:lang w:val="en-US" w:eastAsia="zh-CN"/>
              </w:rPr>
            </w:pPr>
          </w:p>
        </w:tc>
        <w:tc>
          <w:tcPr>
            <w:tcW w:w="2841" w:type="dxa"/>
          </w:tcPr>
          <w:p>
            <w:pPr>
              <w:keepNext w:val="0"/>
              <w:keepLines w:val="0"/>
              <w:widowControl/>
              <w:suppressLineNumbers w:val="0"/>
              <w:jc w:val="left"/>
              <w:rPr>
                <w:rFonts w:hint="default"/>
                <w:sz w:val="28"/>
                <w:szCs w:val="28"/>
                <w:lang w:val="en-US" w:eastAsia="zh-CN"/>
              </w:rPr>
            </w:pPr>
            <w:r>
              <w:rPr>
                <w:rFonts w:hint="default"/>
                <w:sz w:val="28"/>
                <w:szCs w:val="28"/>
                <w:lang w:val="en-US" w:eastAsia="zh-CN"/>
              </w:rPr>
              <w:t>杜商产业化时测研究</w:t>
            </w:r>
          </w:p>
          <w:p>
            <w:pPr>
              <w:keepNext w:val="0"/>
              <w:keepLines w:val="0"/>
              <w:widowControl/>
              <w:suppressLineNumbers w:val="0"/>
              <w:ind w:firstLine="560" w:firstLineChars="200"/>
              <w:jc w:val="left"/>
              <w:rPr>
                <w:rFonts w:hint="default"/>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widowControl/>
              <w:suppressLineNumbers w:val="0"/>
              <w:jc w:val="left"/>
              <w:rPr>
                <w:rFonts w:hint="default"/>
                <w:sz w:val="28"/>
                <w:szCs w:val="28"/>
                <w:lang w:val="en-US" w:eastAsia="zh-CN"/>
              </w:rPr>
            </w:pPr>
            <w:r>
              <w:rPr>
                <w:rFonts w:hint="default"/>
                <w:sz w:val="28"/>
                <w:szCs w:val="28"/>
                <w:lang w:val="en-US" w:eastAsia="zh-CN"/>
              </w:rPr>
              <w:t>创新创业教育前沿研究</w:t>
            </w:r>
          </w:p>
          <w:p>
            <w:pPr>
              <w:keepNext w:val="0"/>
              <w:keepLines w:val="0"/>
              <w:widowControl/>
              <w:suppressLineNumbers w:val="0"/>
              <w:jc w:val="left"/>
              <w:rPr>
                <w:rFonts w:hint="default"/>
                <w:sz w:val="28"/>
                <w:szCs w:val="28"/>
                <w:lang w:val="en-US" w:eastAsia="zh-CN"/>
              </w:rPr>
            </w:pPr>
          </w:p>
        </w:tc>
        <w:tc>
          <w:tcPr>
            <w:tcW w:w="2841" w:type="dxa"/>
          </w:tcPr>
          <w:p>
            <w:pPr>
              <w:keepNext w:val="0"/>
              <w:keepLines w:val="0"/>
              <w:widowControl/>
              <w:suppressLineNumbers w:val="0"/>
              <w:jc w:val="left"/>
              <w:rPr>
                <w:rFonts w:hint="default"/>
                <w:sz w:val="28"/>
                <w:szCs w:val="28"/>
                <w:lang w:val="en-US" w:eastAsia="zh-CN"/>
              </w:rPr>
            </w:pPr>
            <w:r>
              <w:rPr>
                <w:rFonts w:hint="default"/>
                <w:sz w:val="28"/>
                <w:szCs w:val="28"/>
                <w:lang w:val="en-US" w:eastAsia="zh-CN"/>
              </w:rPr>
              <w:t>公司治理前沿研究</w:t>
            </w:r>
          </w:p>
          <w:p>
            <w:pPr>
              <w:keepNext w:val="0"/>
              <w:keepLines w:val="0"/>
              <w:widowControl/>
              <w:suppressLineNumbers w:val="0"/>
              <w:jc w:val="left"/>
              <w:rPr>
                <w:rFonts w:hint="default"/>
                <w:sz w:val="28"/>
                <w:szCs w:val="28"/>
                <w:lang w:val="en-US" w:eastAsia="zh-CN"/>
              </w:rPr>
            </w:pPr>
          </w:p>
        </w:tc>
        <w:tc>
          <w:tcPr>
            <w:tcW w:w="2841" w:type="dxa"/>
          </w:tcPr>
          <w:p>
            <w:pPr>
              <w:keepNext w:val="0"/>
              <w:keepLines w:val="0"/>
              <w:widowControl/>
              <w:suppressLineNumbers w:val="0"/>
              <w:jc w:val="left"/>
              <w:rPr>
                <w:rFonts w:hint="default"/>
                <w:sz w:val="28"/>
                <w:szCs w:val="28"/>
                <w:lang w:val="en-US" w:eastAsia="zh-CN"/>
              </w:rPr>
            </w:pPr>
            <w:r>
              <w:rPr>
                <w:rFonts w:hint="default"/>
                <w:sz w:val="28"/>
                <w:szCs w:val="28"/>
                <w:lang w:val="en-US" w:eastAsia="zh-CN"/>
              </w:rPr>
              <w:t>股东治理架构前沿研究</w:t>
            </w:r>
          </w:p>
          <w:p>
            <w:pPr>
              <w:keepNext w:val="0"/>
              <w:keepLines w:val="0"/>
              <w:widowControl/>
              <w:suppressLineNumbers w:val="0"/>
              <w:jc w:val="left"/>
              <w:rPr>
                <w:rFonts w:hint="default"/>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widowControl/>
              <w:suppressLineNumbers w:val="0"/>
              <w:jc w:val="left"/>
              <w:rPr>
                <w:rFonts w:hint="default"/>
                <w:sz w:val="28"/>
                <w:szCs w:val="28"/>
                <w:lang w:val="en-US" w:eastAsia="zh-CN"/>
              </w:rPr>
            </w:pPr>
            <w:r>
              <w:rPr>
                <w:rFonts w:hint="default"/>
                <w:sz w:val="28"/>
                <w:szCs w:val="28"/>
                <w:lang w:val="en-US" w:eastAsia="zh-CN"/>
              </w:rPr>
              <w:t>家族企业治理对泊研究</w:t>
            </w:r>
          </w:p>
        </w:tc>
        <w:tc>
          <w:tcPr>
            <w:tcW w:w="2841" w:type="dxa"/>
          </w:tcPr>
          <w:p>
            <w:pPr>
              <w:keepNext w:val="0"/>
              <w:keepLines w:val="0"/>
              <w:widowControl/>
              <w:suppressLineNumbers w:val="0"/>
              <w:jc w:val="left"/>
              <w:rPr>
                <w:rFonts w:hint="default"/>
                <w:sz w:val="28"/>
                <w:szCs w:val="28"/>
                <w:lang w:val="en-US" w:eastAsia="zh-CN"/>
              </w:rPr>
            </w:pPr>
            <w:r>
              <w:rPr>
                <w:rFonts w:hint="default"/>
                <w:sz w:val="28"/>
                <w:szCs w:val="28"/>
                <w:lang w:val="en-US" w:eastAsia="zh-CN"/>
              </w:rPr>
              <w:t>投润银行前源研究</w:t>
            </w:r>
          </w:p>
        </w:tc>
        <w:tc>
          <w:tcPr>
            <w:tcW w:w="2841" w:type="dxa"/>
          </w:tcPr>
          <w:p>
            <w:pPr>
              <w:keepNext w:val="0"/>
              <w:keepLines w:val="0"/>
              <w:widowControl/>
              <w:suppressLineNumbers w:val="0"/>
              <w:jc w:val="left"/>
              <w:rPr>
                <w:rFonts w:hint="default"/>
                <w:sz w:val="28"/>
                <w:szCs w:val="28"/>
                <w:lang w:val="en-US" w:eastAsia="zh-CN"/>
              </w:rPr>
            </w:pPr>
            <w:r>
              <w:rPr>
                <w:rFonts w:hint="default"/>
                <w:sz w:val="28"/>
                <w:szCs w:val="28"/>
                <w:lang w:val="en-US" w:eastAsia="zh-CN"/>
              </w:rPr>
              <w:t>跨国企业前的研究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widowControl/>
              <w:suppressLineNumbers w:val="0"/>
              <w:jc w:val="left"/>
              <w:rPr>
                <w:rFonts w:hint="default"/>
                <w:sz w:val="28"/>
                <w:szCs w:val="28"/>
                <w:lang w:val="en-US" w:eastAsia="zh-CN"/>
              </w:rPr>
            </w:pPr>
            <w:r>
              <w:rPr>
                <w:rFonts w:hint="default"/>
                <w:sz w:val="28"/>
                <w:szCs w:val="28"/>
                <w:lang w:val="en-US" w:eastAsia="zh-CN"/>
              </w:rPr>
              <w:t>贸易保护主义前沿研究</w:t>
            </w:r>
          </w:p>
          <w:p>
            <w:pPr>
              <w:keepNext w:val="0"/>
              <w:keepLines w:val="0"/>
              <w:widowControl/>
              <w:suppressLineNumbers w:val="0"/>
              <w:ind w:firstLine="560" w:firstLineChars="200"/>
              <w:jc w:val="left"/>
              <w:rPr>
                <w:rFonts w:hint="default"/>
                <w:sz w:val="28"/>
                <w:szCs w:val="28"/>
                <w:lang w:val="en-US" w:eastAsia="zh-CN"/>
              </w:rPr>
            </w:pPr>
          </w:p>
        </w:tc>
        <w:tc>
          <w:tcPr>
            <w:tcW w:w="2841" w:type="dxa"/>
          </w:tcPr>
          <w:p>
            <w:pPr>
              <w:keepNext w:val="0"/>
              <w:keepLines w:val="0"/>
              <w:widowControl/>
              <w:suppressLineNumbers w:val="0"/>
              <w:ind w:firstLine="560" w:firstLineChars="200"/>
              <w:jc w:val="left"/>
              <w:rPr>
                <w:rFonts w:hint="default"/>
                <w:sz w:val="28"/>
                <w:szCs w:val="28"/>
                <w:lang w:val="en-US" w:eastAsia="zh-CN"/>
              </w:rPr>
            </w:pPr>
          </w:p>
        </w:tc>
        <w:tc>
          <w:tcPr>
            <w:tcW w:w="2841" w:type="dxa"/>
          </w:tcPr>
          <w:p>
            <w:pPr>
              <w:keepNext w:val="0"/>
              <w:keepLines w:val="0"/>
              <w:widowControl/>
              <w:suppressLineNumbers w:val="0"/>
              <w:ind w:firstLine="560" w:firstLineChars="200"/>
              <w:jc w:val="left"/>
              <w:rPr>
                <w:rFonts w:hint="default"/>
                <w:sz w:val="28"/>
                <w:szCs w:val="28"/>
                <w:lang w:val="en-US" w:eastAsia="zh-CN"/>
              </w:rPr>
            </w:pPr>
          </w:p>
        </w:tc>
      </w:tr>
    </w:tbl>
    <w:p>
      <w:pPr>
        <w:keepNext w:val="0"/>
        <w:keepLines w:val="0"/>
        <w:widowControl/>
        <w:suppressLineNumbers w:val="0"/>
        <w:jc w:val="left"/>
        <w:rPr>
          <w:rFonts w:ascii="思源黑体 Bold" w:hAnsi="思源黑体 Bold" w:eastAsia="思源黑体 Bold" w:cs="思源黑体 Bold"/>
          <w:b/>
          <w:color w:val="333363"/>
          <w:kern w:val="0"/>
          <w:sz w:val="28"/>
          <w:szCs w:val="28"/>
          <w:lang w:val="en-US" w:eastAsia="zh-CN" w:bidi="ar"/>
        </w:rPr>
      </w:pPr>
      <w:r>
        <w:rPr>
          <w:rFonts w:ascii="思源黑体 Bold" w:hAnsi="思源黑体 Bold" w:eastAsia="思源黑体 Bold" w:cs="思源黑体 Bold"/>
          <w:b/>
          <w:color w:val="333363"/>
          <w:kern w:val="0"/>
          <w:sz w:val="28"/>
          <w:szCs w:val="28"/>
          <w:lang w:val="en-US" w:eastAsia="zh-CN" w:bidi="ar"/>
        </w:rPr>
        <w:t>实践课程</w:t>
      </w:r>
    </w:p>
    <w:tbl>
      <w:tblPr>
        <w:tblStyle w:val="3"/>
        <w:tblpPr w:leftFromText="180" w:rightFromText="180" w:vertAnchor="text" w:horzAnchor="page" w:tblpX="1857" w:tblpY="4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widowControl/>
              <w:suppressLineNumbers w:val="0"/>
              <w:jc w:val="left"/>
              <w:rPr>
                <w:rFonts w:hint="default"/>
                <w:sz w:val="28"/>
                <w:szCs w:val="28"/>
                <w:lang w:val="en-US" w:eastAsia="zh-CN"/>
              </w:rPr>
            </w:pPr>
            <w:r>
              <w:rPr>
                <w:rFonts w:hint="default"/>
                <w:sz w:val="28"/>
                <w:szCs w:val="28"/>
                <w:lang w:val="en-US" w:eastAsia="zh-CN"/>
              </w:rPr>
              <w:t>博土论文工作坊1</w:t>
            </w:r>
          </w:p>
        </w:tc>
        <w:tc>
          <w:tcPr>
            <w:tcW w:w="2841" w:type="dxa"/>
          </w:tcPr>
          <w:p>
            <w:pPr>
              <w:keepNext w:val="0"/>
              <w:keepLines w:val="0"/>
              <w:widowControl/>
              <w:suppressLineNumbers w:val="0"/>
              <w:jc w:val="left"/>
              <w:rPr>
                <w:rFonts w:hint="default"/>
                <w:sz w:val="28"/>
                <w:szCs w:val="28"/>
                <w:lang w:val="en-US" w:eastAsia="zh-CN"/>
              </w:rPr>
            </w:pPr>
            <w:r>
              <w:rPr>
                <w:rFonts w:hint="default"/>
                <w:sz w:val="28"/>
                <w:szCs w:val="28"/>
                <w:lang w:val="en-US" w:eastAsia="zh-CN"/>
              </w:rPr>
              <w:t>博士论文工作坊2</w:t>
            </w:r>
          </w:p>
        </w:tc>
      </w:tr>
    </w:tbl>
    <w:p>
      <w:pPr>
        <w:keepNext w:val="0"/>
        <w:keepLines w:val="0"/>
        <w:widowControl/>
        <w:suppressLineNumbers w:val="0"/>
        <w:jc w:val="left"/>
        <w:rPr>
          <w:rFonts w:hint="default"/>
          <w:b w:val="0"/>
          <w:bCs w:val="0"/>
          <w:sz w:val="28"/>
          <w:szCs w:val="28"/>
          <w:lang w:val="en-US" w:eastAsia="zh-CN"/>
        </w:rPr>
      </w:pPr>
    </w:p>
    <w:p>
      <w:pPr>
        <w:keepNext w:val="0"/>
        <w:keepLines w:val="0"/>
        <w:widowControl/>
        <w:suppressLineNumbers w:val="0"/>
        <w:jc w:val="left"/>
        <w:rPr>
          <w:rFonts w:hint="default"/>
          <w:b w:val="0"/>
          <w:bCs w:val="0"/>
          <w:sz w:val="28"/>
          <w:szCs w:val="28"/>
          <w:lang w:val="en-US" w:eastAsia="zh-CN"/>
        </w:rPr>
      </w:pPr>
    </w:p>
    <w:p>
      <w:pPr>
        <w:keepNext w:val="0"/>
        <w:keepLines w:val="0"/>
        <w:widowControl/>
        <w:suppressLineNumbers w:val="0"/>
        <w:jc w:val="left"/>
        <w:rPr>
          <w:rFonts w:hint="default"/>
          <w:b w:val="0"/>
          <w:bCs w:val="0"/>
          <w:sz w:val="28"/>
          <w:szCs w:val="28"/>
          <w:lang w:val="en-US" w:eastAsia="zh-CN"/>
        </w:rPr>
      </w:pPr>
    </w:p>
    <w:p>
      <w:pPr>
        <w:keepNext w:val="0"/>
        <w:keepLines w:val="0"/>
        <w:widowControl/>
        <w:suppressLineNumbers w:val="0"/>
        <w:jc w:val="left"/>
        <w:rPr>
          <w:rFonts w:hint="eastAsia" w:ascii="思源黑体 Bold" w:hAnsi="思源黑体 Bold" w:eastAsia="思源黑体 Bold" w:cs="思源黑体 Bold"/>
          <w:b/>
          <w:color w:val="333363"/>
          <w:kern w:val="0"/>
          <w:sz w:val="28"/>
          <w:szCs w:val="28"/>
          <w:lang w:val="en-US" w:eastAsia="zh-CN" w:bidi="ar"/>
        </w:rPr>
      </w:pPr>
      <w:r>
        <w:rPr>
          <w:rFonts w:hint="eastAsia" w:ascii="思源黑体 Bold" w:hAnsi="思源黑体 Bold" w:eastAsia="思源黑体 Bold" w:cs="思源黑体 Bold"/>
          <w:b/>
          <w:color w:val="333363"/>
          <w:kern w:val="0"/>
          <w:sz w:val="28"/>
          <w:szCs w:val="28"/>
          <w:lang w:val="en-US" w:eastAsia="zh-CN" w:bidi="ar"/>
        </w:rPr>
        <w:t>博士论文体系</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 xml:space="preserve">博士研究计划分为五章，第一章为导论、第二章 </w:t>
      </w:r>
    </w:p>
    <w:p>
      <w:pPr>
        <w:keepNext w:val="0"/>
        <w:keepLines w:val="0"/>
        <w:widowControl/>
        <w:suppressLineNumbers w:val="0"/>
        <w:jc w:val="left"/>
        <w:rPr>
          <w:rFonts w:hint="eastAsia"/>
          <w:sz w:val="28"/>
          <w:szCs w:val="28"/>
          <w:lang w:val="en-US" w:eastAsia="zh-CN"/>
        </w:rPr>
      </w:pPr>
      <w:r>
        <w:rPr>
          <w:rFonts w:hint="default"/>
          <w:sz w:val="28"/>
          <w:szCs w:val="28"/>
          <w:lang w:val="en-US" w:eastAsia="zh-CN"/>
        </w:rPr>
        <w:t xml:space="preserve">究设计、第四章为时间规划、第五章为预期成果； </w:t>
      </w:r>
    </w:p>
    <w:p>
      <w:pPr>
        <w:keepNext w:val="0"/>
        <w:keepLines w:val="0"/>
        <w:widowControl/>
        <w:suppressLineNumbers w:val="0"/>
        <w:jc w:val="left"/>
        <w:rPr>
          <w:rFonts w:hint="eastAsia" w:ascii="思源黑体 Bold" w:hAnsi="思源黑体 Bold" w:eastAsia="思源黑体 Bold" w:cs="思源黑体 Bold"/>
          <w:b/>
          <w:color w:val="333363"/>
          <w:kern w:val="0"/>
          <w:sz w:val="28"/>
          <w:szCs w:val="28"/>
          <w:lang w:val="en-US" w:eastAsia="zh-CN" w:bidi="ar"/>
        </w:rPr>
      </w:pPr>
      <w:r>
        <w:rPr>
          <w:rFonts w:hint="eastAsia" w:ascii="思源黑体 Bold" w:hAnsi="思源黑体 Bold" w:eastAsia="思源黑体 Bold" w:cs="思源黑体 Bold"/>
          <w:b/>
          <w:color w:val="333363"/>
          <w:kern w:val="0"/>
          <w:sz w:val="28"/>
          <w:szCs w:val="28"/>
          <w:lang w:val="en-US" w:eastAsia="zh-CN" w:bidi="ar"/>
        </w:rPr>
        <w:t xml:space="preserve">撰写会议论文： </w:t>
      </w:r>
    </w:p>
    <w:p>
      <w:pPr>
        <w:keepNext w:val="0"/>
        <w:keepLines w:val="0"/>
        <w:widowControl/>
        <w:suppressLineNumbers w:val="0"/>
        <w:jc w:val="left"/>
        <w:rPr>
          <w:rFonts w:hint="default" w:ascii="思源黑体 Bold" w:hAnsi="思源黑体 Bold" w:eastAsia="思源黑体 Bold" w:cs="思源黑体 Bold"/>
          <w:b/>
          <w:color w:val="333363"/>
          <w:kern w:val="0"/>
          <w:sz w:val="28"/>
          <w:szCs w:val="28"/>
          <w:lang w:val="en-US" w:eastAsia="zh-CN" w:bidi="ar"/>
        </w:rPr>
      </w:pPr>
      <w:r>
        <w:rPr>
          <w:rFonts w:hint="default"/>
          <w:sz w:val="28"/>
          <w:szCs w:val="28"/>
          <w:lang w:val="en-US" w:eastAsia="zh-CN"/>
        </w:rPr>
        <w:t xml:space="preserve"> 撰写一篇不低于8000字的会议论文，并在学术会议中进行发表，获得发表证书；</w:t>
      </w:r>
    </w:p>
    <w:p>
      <w:pPr>
        <w:keepNext w:val="0"/>
        <w:keepLines w:val="0"/>
        <w:widowControl/>
        <w:suppressLineNumbers w:val="0"/>
        <w:jc w:val="left"/>
        <w:rPr>
          <w:rFonts w:hint="eastAsia" w:ascii="思源黑体 Bold" w:hAnsi="思源黑体 Bold" w:eastAsia="思源黑体 Bold" w:cs="思源黑体 Bold"/>
          <w:b/>
          <w:color w:val="333363"/>
          <w:kern w:val="0"/>
          <w:sz w:val="28"/>
          <w:szCs w:val="28"/>
          <w:lang w:val="en-US" w:eastAsia="zh-CN" w:bidi="ar"/>
        </w:rPr>
      </w:pPr>
      <w:r>
        <w:rPr>
          <w:rFonts w:hint="default" w:ascii="思源黑体 Bold" w:hAnsi="思源黑体 Bold" w:eastAsia="思源黑体 Bold" w:cs="思源黑体 Bold"/>
          <w:b/>
          <w:color w:val="333363"/>
          <w:kern w:val="0"/>
          <w:sz w:val="28"/>
          <w:szCs w:val="28"/>
          <w:lang w:val="en-US" w:eastAsia="zh-CN" w:bidi="ar"/>
        </w:rPr>
        <w:t xml:space="preserve">撰写期刊论文： </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 xml:space="preserve">撰写一篇不低于8000字的会议论文，并在学术会议中进行发表，索引要求为SSCI、SCOPUS、EBSCO、TCI； </w:t>
      </w:r>
    </w:p>
    <w:p>
      <w:pPr>
        <w:keepNext w:val="0"/>
        <w:keepLines w:val="0"/>
        <w:widowControl/>
        <w:suppressLineNumbers w:val="0"/>
        <w:jc w:val="left"/>
        <w:rPr>
          <w:rFonts w:hint="default" w:ascii="思源黑体 Bold" w:hAnsi="思源黑体 Bold" w:eastAsia="思源黑体 Bold" w:cs="思源黑体 Bold"/>
          <w:b/>
          <w:color w:val="333363"/>
          <w:kern w:val="0"/>
          <w:sz w:val="28"/>
          <w:szCs w:val="28"/>
          <w:lang w:val="en-US" w:eastAsia="zh-CN" w:bidi="ar"/>
        </w:rPr>
      </w:pPr>
      <w:r>
        <w:rPr>
          <w:rFonts w:hint="default" w:ascii="思源黑体 Bold" w:hAnsi="思源黑体 Bold" w:eastAsia="思源黑体 Bold" w:cs="思源黑体 Bold"/>
          <w:b/>
          <w:color w:val="333363"/>
          <w:kern w:val="0"/>
          <w:sz w:val="28"/>
          <w:szCs w:val="28"/>
          <w:lang w:val="en-US" w:eastAsia="zh-CN" w:bidi="ar"/>
        </w:rPr>
        <w:t>撰写毕业论文：</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 xml:space="preserve">毕业论文分为五章，第一章为导论、第二章为文献分析、 </w:t>
      </w:r>
    </w:p>
    <w:p>
      <w:pPr>
        <w:keepNext w:val="0"/>
        <w:keepLines w:val="0"/>
        <w:widowControl/>
        <w:suppressLineNumbers w:val="0"/>
        <w:jc w:val="left"/>
        <w:rPr>
          <w:sz w:val="28"/>
          <w:szCs w:val="28"/>
        </w:rPr>
      </w:pPr>
      <w:r>
        <w:rPr>
          <w:rFonts w:hint="default"/>
          <w:sz w:val="28"/>
          <w:szCs w:val="28"/>
          <w:lang w:val="en-US" w:eastAsia="zh-CN"/>
        </w:rPr>
        <w:t xml:space="preserve">第三章为研究设计、第四章为讨论、第五章为结论。按照本博士培养计划，论文撰写采用分章节答辩； </w:t>
      </w:r>
    </w:p>
    <w:p>
      <w:pPr>
        <w:keepNext w:val="0"/>
        <w:keepLines w:val="0"/>
        <w:widowControl/>
        <w:suppressLineNumbers w:val="0"/>
        <w:jc w:val="left"/>
        <w:rPr>
          <w:rFonts w:hint="default" w:ascii="思源黑体 Bold" w:hAnsi="思源黑体 Bold" w:eastAsia="思源黑体 Bold" w:cs="思源黑体 Bold"/>
          <w:b/>
          <w:color w:val="333363"/>
          <w:kern w:val="0"/>
          <w:sz w:val="28"/>
          <w:szCs w:val="28"/>
          <w:lang w:val="en-US" w:eastAsia="zh-CN" w:bidi="ar"/>
        </w:rPr>
      </w:pPr>
      <w:r>
        <w:rPr>
          <w:rFonts w:hint="default" w:ascii="思源黑体 Bold" w:hAnsi="思源黑体 Bold" w:eastAsia="思源黑体 Bold" w:cs="思源黑体 Bold"/>
          <w:b/>
          <w:color w:val="333363"/>
          <w:kern w:val="0"/>
          <w:sz w:val="28"/>
          <w:szCs w:val="28"/>
          <w:lang w:val="en-US" w:eastAsia="zh-CN" w:bidi="ar"/>
        </w:rPr>
        <w:t>毕业论文答辩：</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 xml:space="preserve">按照本院博士培养计划，论文答辩共分为三次：第一次陈述论文第一二三章，进行不低于30分钟的论文答辩，答辩通过后，撰写论文第四章；第二次陈述论文第四章，进行不低于45分钟的论文答辩，答辩通过后，撰写论文第五章；第三次陈述论文第五章，进行不低于60分钟的全文答辩，答辩通过后，获得毕业论文学分。 </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 xml:space="preserve">注：所有论文均采用APA-6格式。 </w:t>
      </w:r>
    </w:p>
    <w:p>
      <w:pPr>
        <w:keepNext w:val="0"/>
        <w:keepLines w:val="0"/>
        <w:widowControl/>
        <w:suppressLineNumbers w:val="0"/>
        <w:jc w:val="left"/>
        <w:rPr>
          <w:sz w:val="28"/>
          <w:szCs w:val="28"/>
        </w:rPr>
      </w:pPr>
      <w:r>
        <w:rPr>
          <w:rFonts w:hint="default" w:ascii="思源黑体 Bold" w:hAnsi="思源黑体 Bold" w:eastAsia="思源黑体 Bold" w:cs="思源黑体 Bold"/>
          <w:b/>
          <w:color w:val="333363"/>
          <w:kern w:val="0"/>
          <w:sz w:val="28"/>
          <w:szCs w:val="28"/>
          <w:lang w:val="en-US" w:eastAsia="zh-CN" w:bidi="ar"/>
        </w:rPr>
        <w:t xml:space="preserve">录取与费用 </w:t>
      </w:r>
    </w:p>
    <w:p>
      <w:pPr>
        <w:keepNext w:val="0"/>
        <w:keepLines w:val="0"/>
        <w:widowControl/>
        <w:suppressLineNumbers w:val="0"/>
        <w:jc w:val="left"/>
        <w:rPr>
          <w:sz w:val="28"/>
          <w:szCs w:val="28"/>
        </w:rPr>
      </w:pPr>
      <w:r>
        <w:rPr>
          <w:rFonts w:hint="default" w:ascii="思源黑体 Bold" w:hAnsi="思源黑体 Bold" w:eastAsia="思源黑体 Bold" w:cs="思源黑体 Bold"/>
          <w:b/>
          <w:color w:val="333363"/>
          <w:kern w:val="0"/>
          <w:sz w:val="28"/>
          <w:szCs w:val="28"/>
          <w:lang w:val="en-US" w:eastAsia="zh-CN" w:bidi="ar"/>
        </w:rPr>
        <w:t>申请方式：</w:t>
      </w:r>
    </w:p>
    <w:p>
      <w:pPr>
        <w:keepNext w:val="0"/>
        <w:keepLines w:val="0"/>
        <w:widowControl/>
        <w:suppressLineNumbers w:val="0"/>
        <w:jc w:val="left"/>
        <w:rPr>
          <w:sz w:val="28"/>
          <w:szCs w:val="28"/>
        </w:rPr>
      </w:pPr>
      <w:r>
        <w:rPr>
          <w:rFonts w:hint="default"/>
          <w:sz w:val="28"/>
          <w:szCs w:val="28"/>
          <w:lang w:val="en-US" w:eastAsia="zh-CN"/>
        </w:rPr>
        <w:t>材料申请+面试甄选</w:t>
      </w:r>
      <w:r>
        <w:rPr>
          <w:rFonts w:hint="default" w:ascii="思源黑体 Regular" w:hAnsi="思源黑体 Regular" w:eastAsia="思源黑体 Regular" w:cs="思源黑体 Regular"/>
          <w:color w:val="3E3E3F"/>
          <w:kern w:val="0"/>
          <w:sz w:val="28"/>
          <w:szCs w:val="28"/>
          <w:lang w:val="en-US" w:eastAsia="zh-CN" w:bidi="ar"/>
        </w:rPr>
        <w:t xml:space="preserve"> </w:t>
      </w:r>
    </w:p>
    <w:p>
      <w:pPr>
        <w:keepNext w:val="0"/>
        <w:keepLines w:val="0"/>
        <w:widowControl/>
        <w:suppressLineNumbers w:val="0"/>
        <w:jc w:val="left"/>
        <w:rPr>
          <w:rFonts w:hint="default" w:ascii="思源黑体 Bold" w:hAnsi="思源黑体 Bold" w:eastAsia="思源黑体 Bold" w:cs="思源黑体 Bold"/>
          <w:b/>
          <w:color w:val="333363"/>
          <w:kern w:val="0"/>
          <w:sz w:val="28"/>
          <w:szCs w:val="28"/>
          <w:lang w:val="en-US" w:eastAsia="zh-CN" w:bidi="ar"/>
        </w:rPr>
      </w:pPr>
      <w:r>
        <w:rPr>
          <w:rFonts w:hint="default" w:ascii="思源黑体 Bold" w:hAnsi="思源黑体 Bold" w:eastAsia="思源黑体 Bold" w:cs="思源黑体 Bold"/>
          <w:b/>
          <w:color w:val="333363"/>
          <w:kern w:val="0"/>
          <w:sz w:val="28"/>
          <w:szCs w:val="28"/>
          <w:lang w:val="en-US" w:eastAsia="zh-CN" w:bidi="ar"/>
        </w:rPr>
        <w:t>申请费：</w:t>
      </w:r>
    </w:p>
    <w:p>
      <w:pPr>
        <w:keepNext w:val="0"/>
        <w:keepLines w:val="0"/>
        <w:widowControl/>
        <w:suppressLineNumbers w:val="0"/>
        <w:jc w:val="left"/>
        <w:rPr>
          <w:sz w:val="28"/>
          <w:szCs w:val="28"/>
        </w:rPr>
      </w:pPr>
      <w:r>
        <w:rPr>
          <w:rFonts w:hint="default"/>
          <w:sz w:val="28"/>
          <w:szCs w:val="28"/>
          <w:lang w:val="en-US" w:eastAsia="zh-CN"/>
        </w:rPr>
        <w:t>2000元人民币</w:t>
      </w:r>
      <w:r>
        <w:rPr>
          <w:rFonts w:hint="default" w:ascii="思源黑体 Regular" w:hAnsi="思源黑体 Regular" w:eastAsia="思源黑体 Regular" w:cs="思源黑体 Regular"/>
          <w:color w:val="3E3E3F"/>
          <w:kern w:val="0"/>
          <w:sz w:val="28"/>
          <w:szCs w:val="28"/>
          <w:lang w:val="en-US" w:eastAsia="zh-CN" w:bidi="ar"/>
        </w:rPr>
        <w:t xml:space="preserve"> </w:t>
      </w:r>
    </w:p>
    <w:p>
      <w:pPr>
        <w:keepNext w:val="0"/>
        <w:keepLines w:val="0"/>
        <w:widowControl/>
        <w:suppressLineNumbers w:val="0"/>
        <w:jc w:val="left"/>
        <w:rPr>
          <w:rFonts w:hint="default" w:ascii="思源黑体 Bold" w:hAnsi="思源黑体 Bold" w:eastAsia="思源黑体 Bold" w:cs="思源黑体 Bold"/>
          <w:b/>
          <w:color w:val="333363"/>
          <w:kern w:val="0"/>
          <w:sz w:val="28"/>
          <w:szCs w:val="28"/>
          <w:lang w:val="en-US" w:eastAsia="zh-CN" w:bidi="ar"/>
        </w:rPr>
      </w:pPr>
      <w:r>
        <w:rPr>
          <w:rFonts w:hint="default" w:ascii="思源黑体 Bold" w:hAnsi="思源黑体 Bold" w:eastAsia="思源黑体 Bold" w:cs="思源黑体 Bold"/>
          <w:b/>
          <w:color w:val="333363"/>
          <w:kern w:val="0"/>
          <w:sz w:val="28"/>
          <w:szCs w:val="28"/>
          <w:lang w:val="en-US" w:eastAsia="zh-CN" w:bidi="ar"/>
        </w:rPr>
        <w:t xml:space="preserve">费 用： </w:t>
      </w:r>
    </w:p>
    <w:p>
      <w:pPr>
        <w:keepNext w:val="0"/>
        <w:keepLines w:val="0"/>
        <w:widowControl/>
        <w:suppressLineNumbers w:val="0"/>
        <w:jc w:val="left"/>
        <w:rPr>
          <w:rFonts w:hint="default"/>
          <w:sz w:val="28"/>
          <w:szCs w:val="28"/>
          <w:lang w:val="en-US" w:eastAsia="zh-CN"/>
        </w:rPr>
      </w:pPr>
      <w:r>
        <w:rPr>
          <w:rFonts w:hint="default"/>
          <w:b/>
          <w:bCs/>
          <w:sz w:val="28"/>
          <w:szCs w:val="28"/>
          <w:lang w:val="en-US" w:eastAsia="zh-CN"/>
        </w:rPr>
        <w:t>DBA</w:t>
      </w:r>
      <w:r>
        <w:rPr>
          <w:rFonts w:hint="default"/>
          <w:sz w:val="28"/>
          <w:szCs w:val="28"/>
          <w:lang w:val="en-US" w:eastAsia="zh-CN"/>
        </w:rPr>
        <w:t xml:space="preserve">总学费95万泰铢 </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 xml:space="preserve">第一学年缴纳65万泰铢 </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 xml:space="preserve">第二学年30万泰铢 </w:t>
      </w:r>
    </w:p>
    <w:p>
      <w:pPr>
        <w:keepNext w:val="0"/>
        <w:keepLines w:val="0"/>
        <w:widowControl/>
        <w:suppressLineNumbers w:val="0"/>
        <w:jc w:val="left"/>
        <w:rPr>
          <w:rFonts w:hint="default" w:ascii="思源黑体 Bold" w:hAnsi="思源黑体 Bold" w:eastAsia="思源黑体 Bold" w:cs="思源黑体 Bold"/>
          <w:b/>
          <w:color w:val="333363"/>
          <w:kern w:val="0"/>
          <w:sz w:val="28"/>
          <w:szCs w:val="28"/>
          <w:lang w:val="en-US" w:eastAsia="zh-CN" w:bidi="ar"/>
        </w:rPr>
      </w:pPr>
    </w:p>
    <w:p>
      <w:pPr>
        <w:keepNext w:val="0"/>
        <w:keepLines w:val="0"/>
        <w:widowControl/>
        <w:suppressLineNumbers w:val="0"/>
        <w:jc w:val="left"/>
        <w:rPr>
          <w:sz w:val="28"/>
          <w:szCs w:val="28"/>
        </w:rPr>
      </w:pPr>
      <w:r>
        <w:rPr>
          <w:rFonts w:hint="default" w:ascii="思源黑体 Bold" w:hAnsi="思源黑体 Bold" w:eastAsia="思源黑体 Bold" w:cs="思源黑体 Bold"/>
          <w:b/>
          <w:color w:val="333363"/>
          <w:kern w:val="0"/>
          <w:sz w:val="28"/>
          <w:szCs w:val="28"/>
          <w:lang w:val="en-US" w:eastAsia="zh-CN" w:bidi="ar"/>
        </w:rPr>
        <w:t xml:space="preserve">学制与培养 </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 xml:space="preserve">1、本专业学制为36个月 </w:t>
      </w:r>
    </w:p>
    <w:p>
      <w:pPr>
        <w:keepNext w:val="0"/>
        <w:keepLines w:val="0"/>
        <w:widowControl/>
        <w:suppressLineNumbers w:val="0"/>
        <w:jc w:val="left"/>
        <w:rPr>
          <w:sz w:val="28"/>
          <w:szCs w:val="28"/>
        </w:rPr>
      </w:pPr>
      <w:r>
        <w:rPr>
          <w:rFonts w:hint="default"/>
          <w:sz w:val="28"/>
          <w:szCs w:val="28"/>
          <w:lang w:val="en-US" w:eastAsia="zh-CN"/>
        </w:rPr>
        <w:t>2、全日制注册，集中授课+研究辅导</w:t>
      </w:r>
      <w:r>
        <w:rPr>
          <w:rFonts w:hint="default" w:ascii="思源黑体 Regular" w:hAnsi="思源黑体 Regular" w:eastAsia="思源黑体 Regular" w:cs="思源黑体 Regular"/>
          <w:color w:val="3E3E3F"/>
          <w:kern w:val="0"/>
          <w:sz w:val="28"/>
          <w:szCs w:val="28"/>
          <w:lang w:val="en-US" w:eastAsia="zh-CN" w:bidi="ar"/>
        </w:rPr>
        <w:t xml:space="preserve"> </w:t>
      </w:r>
    </w:p>
    <w:p>
      <w:pPr>
        <w:keepNext w:val="0"/>
        <w:keepLines w:val="0"/>
        <w:widowControl/>
        <w:suppressLineNumbers w:val="0"/>
        <w:jc w:val="left"/>
        <w:rPr>
          <w:rFonts w:hint="default" w:ascii="思源黑体 Bold" w:hAnsi="思源黑体 Bold" w:eastAsia="思源黑体 Bold" w:cs="思源黑体 Bold"/>
          <w:b/>
          <w:color w:val="333363"/>
          <w:kern w:val="0"/>
          <w:sz w:val="28"/>
          <w:szCs w:val="28"/>
          <w:lang w:val="en-US" w:eastAsia="zh-CN" w:bidi="ar"/>
        </w:rPr>
      </w:pPr>
      <w:r>
        <w:rPr>
          <w:rFonts w:hint="default" w:ascii="思源黑体 Bold" w:hAnsi="思源黑体 Bold" w:eastAsia="思源黑体 Bold" w:cs="思源黑体 Bold"/>
          <w:b/>
          <w:color w:val="333363"/>
          <w:kern w:val="0"/>
          <w:sz w:val="28"/>
          <w:szCs w:val="28"/>
          <w:lang w:val="en-US" w:eastAsia="zh-CN" w:bidi="ar"/>
        </w:rPr>
        <w:t>报名与开学</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 xml:space="preserve">截止时间：本科每年7月、硕博每年5月和11月 </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开学时间：本科每年9月、硕博每年1月和7月</w:t>
      </w:r>
    </w:p>
    <w:p>
      <w:pPr>
        <w:keepNext w:val="0"/>
        <w:keepLines w:val="0"/>
        <w:widowControl/>
        <w:suppressLineNumbers w:val="0"/>
        <w:jc w:val="left"/>
        <w:rPr>
          <w:sz w:val="28"/>
          <w:szCs w:val="28"/>
        </w:rPr>
      </w:pPr>
      <w:r>
        <w:rPr>
          <w:rFonts w:ascii="思源黑体 Bold" w:hAnsi="思源黑体 Bold" w:eastAsia="思源黑体 Bold" w:cs="思源黑体 Bold"/>
          <w:b/>
          <w:color w:val="E78138"/>
          <w:kern w:val="0"/>
          <w:sz w:val="28"/>
          <w:szCs w:val="28"/>
          <w:lang w:val="en-US" w:eastAsia="zh-CN" w:bidi="ar"/>
        </w:rPr>
        <w:t>申请材料</w:t>
      </w:r>
    </w:p>
    <w:p>
      <w:pPr>
        <w:keepNext w:val="0"/>
        <w:keepLines w:val="0"/>
        <w:widowControl/>
        <w:suppressLineNumbers w:val="0"/>
        <w:jc w:val="left"/>
        <w:rPr>
          <w:rFonts w:hint="default" w:ascii="思源黑体 Bold" w:hAnsi="思源黑体 Bold" w:eastAsia="思源黑体 Bold" w:cs="思源黑体 Bold"/>
          <w:b/>
          <w:color w:val="333363"/>
          <w:kern w:val="0"/>
          <w:sz w:val="28"/>
          <w:szCs w:val="28"/>
          <w:lang w:val="en-US" w:eastAsia="zh-CN" w:bidi="ar"/>
        </w:rPr>
      </w:pPr>
    </w:p>
    <w:p>
      <w:pPr>
        <w:keepNext w:val="0"/>
        <w:keepLines w:val="0"/>
        <w:widowControl/>
        <w:suppressLineNumbers w:val="0"/>
        <w:jc w:val="left"/>
        <w:rPr>
          <w:sz w:val="28"/>
          <w:szCs w:val="28"/>
        </w:rPr>
      </w:pPr>
      <w:r>
        <w:rPr>
          <w:sz w:val="28"/>
          <w:szCs w:val="28"/>
        </w:rPr>
        <w:drawing>
          <wp:inline distT="0" distB="0" distL="114300" distR="114300">
            <wp:extent cx="3546475" cy="1896110"/>
            <wp:effectExtent l="0" t="0" r="1587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3546475" cy="1896110"/>
                    </a:xfrm>
                    <a:prstGeom prst="rect">
                      <a:avLst/>
                    </a:prstGeom>
                    <a:noFill/>
                    <a:ln>
                      <a:noFill/>
                    </a:ln>
                  </pic:spPr>
                </pic:pic>
              </a:graphicData>
            </a:graphic>
          </wp:inline>
        </w:drawing>
      </w:r>
    </w:p>
    <w:p>
      <w:pPr>
        <w:keepNext w:val="0"/>
        <w:keepLines w:val="0"/>
        <w:widowControl/>
        <w:suppressLineNumbers w:val="0"/>
        <w:jc w:val="left"/>
        <w:rPr>
          <w:sz w:val="28"/>
          <w:szCs w:val="28"/>
        </w:rPr>
      </w:pPr>
      <w:r>
        <w:rPr>
          <w:rFonts w:ascii="思源黑体 Bold" w:hAnsi="思源黑体 Bold" w:eastAsia="思源黑体 Bold" w:cs="思源黑体 Bold"/>
          <w:b/>
          <w:color w:val="E78138"/>
          <w:kern w:val="0"/>
          <w:sz w:val="28"/>
          <w:szCs w:val="28"/>
          <w:lang w:val="en-US" w:eastAsia="zh-CN" w:bidi="ar"/>
        </w:rPr>
        <w:t>申请流程</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 xml:space="preserve">提交申请材料和申请费至NCU设立的报名中心 </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 xml:space="preserve">入学申请材料审核通过后预约参加学校在线面试 </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 xml:space="preserve">通过面试可获得NCU正式录取通知书并获得缴费号 </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 xml:space="preserve">办理留学签证并支付第一期学费 </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 xml:space="preserve">所属报名中心预订机票、住宿和保险参与计划 </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赴泰国到校办理入学报到和住宿手续，开启留学生活</w:t>
      </w:r>
    </w:p>
    <w:p>
      <w:pPr>
        <w:keepNext w:val="0"/>
        <w:keepLines w:val="0"/>
        <w:widowControl/>
        <w:suppressLineNumbers w:val="0"/>
        <w:jc w:val="left"/>
        <w:rPr>
          <w:rFonts w:hint="default"/>
          <w:sz w:val="28"/>
          <w:szCs w:val="28"/>
          <w:lang w:val="en-US" w:eastAsia="zh-CN"/>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思源黑体 Bold">
    <w:altName w:val="黑体"/>
    <w:panose1 w:val="00000000000000000000"/>
    <w:charset w:val="00"/>
    <w:family w:val="auto"/>
    <w:pitch w:val="default"/>
    <w:sig w:usb0="00000000" w:usb1="00000000" w:usb2="00000000" w:usb3="00000000" w:csb0="00000000" w:csb1="00000000"/>
  </w:font>
  <w:font w:name="思源黑体 Regular">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93AF7"/>
    <w:rsid w:val="44B176D1"/>
    <w:rsid w:val="71293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2020-12-17T09:36:00Z</dcterms:created>
  <dc:creator>杜新敏</dc:creator>
  <cp:lastModifiedBy>杜新敏</cp:lastModifiedBy>
  <dcterms:modified xsi:type="dcterms:W3CDTF">2020-12-17T09:42:36Z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