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jc w:val="center"/>
      </w:pPr>
      <w:bookmarkStart w:id="0" w:name="_GoBack"/>
      <w:r>
        <w:rPr>
          <w:rFonts w:hint="eastAsia" w:ascii="黑体" w:hAnsi="黑体" w:eastAsia="黑体" w:cs="黑体"/>
          <w:b w:val="0"/>
          <w:bCs w:val="0"/>
          <w:sz w:val="32"/>
          <w:szCs w:val="32"/>
          <w:lang w:val="en-US" w:eastAsia="zh-CN"/>
        </w:rPr>
        <w:t>凯特语言中心</w:t>
      </w:r>
      <w:r>
        <w:rPr>
          <w:rFonts w:hint="eastAsia" w:ascii="微软雅黑" w:hAnsi="微软雅黑" w:eastAsia="微软雅黑" w:cs="微软雅黑"/>
          <w:b w:val="0"/>
          <w:bCs w:val="0"/>
          <w:i w:val="0"/>
          <w:iCs w:val="0"/>
          <w:caps w:val="0"/>
          <w:color w:val="000000"/>
          <w:spacing w:val="0"/>
          <w:sz w:val="32"/>
          <w:szCs w:val="32"/>
          <w:shd w:val="clear" w:fill="FFFFFF"/>
        </w:rPr>
        <w:t>STBJ标准商务日语考试</w:t>
      </w:r>
      <w:bookmarkEnd w:id="0"/>
      <w:r>
        <w:drawing>
          <wp:inline distT="0" distB="0" distL="114300" distR="114300">
            <wp:extent cx="5272405" cy="1841500"/>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2405" cy="1841500"/>
                    </a:xfrm>
                    <a:prstGeom prst="rect">
                      <a:avLst/>
                    </a:prstGeom>
                    <a:noFill/>
                    <a:ln>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中教特色</w:t>
      </w:r>
      <w:r>
        <w:rPr>
          <w:rFonts w:hint="eastAsia" w:ascii="微软雅黑" w:hAnsi="微软雅黑" w:eastAsia="微软雅黑" w:cs="微软雅黑"/>
          <w:i w:val="0"/>
          <w:iCs w:val="0"/>
          <w:caps w:val="0"/>
          <w:color w:val="333333"/>
          <w:spacing w:val="0"/>
          <w:sz w:val="24"/>
          <w:szCs w:val="24"/>
        </w:rPr>
        <w:t>：  </w:t>
      </w:r>
      <w:r>
        <w:rPr>
          <w:rStyle w:val="8"/>
          <w:rFonts w:hint="eastAsia" w:ascii="微软雅黑" w:hAnsi="微软雅黑" w:eastAsia="微软雅黑" w:cs="微软雅黑"/>
          <w:i w:val="0"/>
          <w:iCs w:val="0"/>
          <w:caps w:val="0"/>
          <w:color w:val="333333"/>
          <w:spacing w:val="0"/>
          <w:sz w:val="24"/>
          <w:szCs w:val="24"/>
        </w:rPr>
        <w:t>由国内外知名院校执毕业生执教，有相关日语教育经验，并有日本的生活，文化，留学，工作经验的老师执教。以文法，课文讲解为主，口语表达为辅助，提高学生的基础，综合能力。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授课方式</w:t>
      </w:r>
      <w:r>
        <w:rPr>
          <w:rFonts w:hint="eastAsia" w:ascii="微软雅黑" w:hAnsi="微软雅黑" w:eastAsia="微软雅黑" w:cs="微软雅黑"/>
          <w:i w:val="0"/>
          <w:iCs w:val="0"/>
          <w:caps w:val="0"/>
          <w:color w:val="E53333"/>
          <w:spacing w:val="0"/>
          <w:sz w:val="24"/>
          <w:szCs w:val="24"/>
        </w:rPr>
        <w:t>：</w:t>
      </w:r>
      <w:r>
        <w:rPr>
          <w:rFonts w:hint="eastAsia" w:ascii="微软雅黑" w:hAnsi="微软雅黑" w:eastAsia="微软雅黑" w:cs="微软雅黑"/>
          <w:i w:val="0"/>
          <w:iCs w:val="0"/>
          <w:caps w:val="0"/>
          <w:color w:val="000000"/>
          <w:spacing w:val="0"/>
          <w:sz w:val="24"/>
          <w:szCs w:val="24"/>
        </w:rPr>
        <w:t>一对一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课程内容面向的对象</w:t>
      </w:r>
      <w:r>
        <w:rPr>
          <w:rFonts w:hint="eastAsia" w:ascii="微软雅黑" w:hAnsi="微软雅黑" w:eastAsia="微软雅黑" w:cs="微软雅黑"/>
          <w:i w:val="0"/>
          <w:iCs w:val="0"/>
          <w:caps w:val="0"/>
          <w:color w:val="000000"/>
          <w:spacing w:val="0"/>
          <w:sz w:val="27"/>
          <w:szCs w:val="27"/>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1）</w:t>
      </w:r>
      <w:r>
        <w:rPr>
          <w:rStyle w:val="8"/>
          <w:rFonts w:hint="eastAsia" w:ascii="微软雅黑" w:hAnsi="微软雅黑" w:eastAsia="微软雅黑" w:cs="微软雅黑"/>
          <w:i w:val="0"/>
          <w:iCs w:val="0"/>
          <w:caps w:val="0"/>
          <w:color w:val="000000"/>
          <w:spacing w:val="0"/>
          <w:sz w:val="24"/>
          <w:szCs w:val="24"/>
        </w:rPr>
        <w:t>留学 ,以留学为目的, 希望达到语言学校或大学入学标准的学员.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2）</w:t>
      </w:r>
      <w:r>
        <w:rPr>
          <w:rFonts w:hint="eastAsia" w:ascii="微软雅黑" w:hAnsi="微软雅黑" w:eastAsia="微软雅黑" w:cs="微软雅黑"/>
          <w:i w:val="0"/>
          <w:iCs w:val="0"/>
          <w:caps w:val="0"/>
          <w:color w:val="000000"/>
          <w:spacing w:val="0"/>
          <w:sz w:val="24"/>
          <w:szCs w:val="24"/>
        </w:rPr>
        <w:t>国内高考 ,考研 ,代替英语 ,想提高考分的学员.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3）</w:t>
      </w:r>
      <w:r>
        <w:rPr>
          <w:rFonts w:hint="eastAsia" w:ascii="微软雅黑" w:hAnsi="微软雅黑" w:eastAsia="微软雅黑" w:cs="微软雅黑"/>
          <w:i w:val="0"/>
          <w:iCs w:val="0"/>
          <w:caps w:val="0"/>
          <w:color w:val="000000"/>
          <w:spacing w:val="0"/>
          <w:sz w:val="24"/>
          <w:szCs w:val="24"/>
        </w:rPr>
        <w:t>商务日语 , 有在日企上班 ,有出差日本 ,需要商务语言表达的学员。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4）</w:t>
      </w:r>
      <w:r>
        <w:rPr>
          <w:rFonts w:hint="eastAsia" w:ascii="微软雅黑" w:hAnsi="微软雅黑" w:eastAsia="微软雅黑" w:cs="微软雅黑"/>
          <w:i w:val="0"/>
          <w:iCs w:val="0"/>
          <w:caps w:val="0"/>
          <w:color w:val="000000"/>
          <w:spacing w:val="0"/>
          <w:sz w:val="24"/>
          <w:szCs w:val="24"/>
        </w:rPr>
        <w:t>旅游 ,兴趣入门, 对旅游 ,日本文化感兴趣以及空余时间想自我提高的学员。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5）</w:t>
      </w:r>
      <w:r>
        <w:rPr>
          <w:rFonts w:hint="eastAsia" w:ascii="微软雅黑" w:hAnsi="微软雅黑" w:eastAsia="微软雅黑" w:cs="微软雅黑"/>
          <w:i w:val="0"/>
          <w:iCs w:val="0"/>
          <w:caps w:val="0"/>
          <w:color w:val="000000"/>
          <w:spacing w:val="0"/>
          <w:sz w:val="24"/>
          <w:szCs w:val="24"/>
        </w:rPr>
        <w:t>日本定居，投资有想去日本定居，投资房产的学员。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6）</w:t>
      </w:r>
      <w:r>
        <w:rPr>
          <w:rFonts w:hint="eastAsia" w:ascii="微软雅黑" w:hAnsi="微软雅黑" w:eastAsia="微软雅黑" w:cs="微软雅黑"/>
          <w:i w:val="0"/>
          <w:iCs w:val="0"/>
          <w:caps w:val="0"/>
          <w:color w:val="000000"/>
          <w:spacing w:val="0"/>
          <w:sz w:val="24"/>
          <w:szCs w:val="24"/>
        </w:rPr>
        <w:t>日语能力考试,以考级取证为目的的学员。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外教特色</w:t>
      </w:r>
      <w:r>
        <w:rPr>
          <w:rFonts w:hint="eastAsia"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4"/>
          <w:szCs w:val="24"/>
        </w:rPr>
        <w:t>毕业于日本知名院校 ,口音纯正 ,具有丰富教学经验 ,有中文学习经历。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1）一对一  : 课程涵盖初级到高级。希望能提高实际运用能力，需要以口语表达为主的学员。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2）小班课（一对多）:希望多锻炼一下口语，想和同班同学创造一个良好互相学习氛围以及共同提高的同学。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根据学员的需求，推荐相关的教材，教学方法。详情可咨询客服。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日语中教VIP一对一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日语外教小班课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精品日语外教VIP一对一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旅游日语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日语实用口语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出国留学日语口语强化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日语考试N1~N5阶段课程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日语考研专门课程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航空日语口语课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日语JTEST阶段课程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11</w:t>
      </w:r>
      <w:r>
        <w:rPr>
          <w:rFonts w:hint="eastAsia" w:ascii="微软雅黑" w:hAnsi="微软雅黑" w:eastAsia="微软雅黑" w:cs="微软雅黑"/>
          <w:i w:val="0"/>
          <w:iCs w:val="0"/>
          <w:caps w:val="0"/>
          <w:color w:val="333333"/>
          <w:spacing w:val="0"/>
          <w:sz w:val="24"/>
          <w:szCs w:val="24"/>
        </w:rPr>
        <w:t>日语考级考前冲刺班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12</w:t>
      </w:r>
      <w:r>
        <w:rPr>
          <w:rFonts w:hint="eastAsia" w:ascii="微软雅黑" w:hAnsi="微软雅黑" w:eastAsia="微软雅黑" w:cs="微软雅黑"/>
          <w:i w:val="0"/>
          <w:iCs w:val="0"/>
          <w:caps w:val="0"/>
          <w:color w:val="333333"/>
          <w:spacing w:val="0"/>
          <w:sz w:val="24"/>
          <w:szCs w:val="24"/>
        </w:rPr>
        <w:t>商务日语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eastAsia" w:ascii="Tahoma" w:hAnsi="Tahoma" w:eastAsia="Tahoma" w:cs="Tahoma"/>
          <w:i w:val="0"/>
          <w:iCs w:val="0"/>
          <w:caps w:val="0"/>
          <w:color w:val="000000"/>
          <w:spacing w:val="0"/>
          <w:sz w:val="18"/>
          <w:szCs w:val="18"/>
        </w:rPr>
        <w:drawing>
          <wp:inline distT="0" distB="0" distL="114300" distR="114300">
            <wp:extent cx="1905000" cy="19050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《红蓝宝书》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《大家的日语》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6"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8"/>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《标准日本语》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9" name="图片 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9"/>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《日语参考教材》</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826385" cy="2826385"/>
            <wp:effectExtent l="0" t="0" r="12065" b="12065"/>
            <wp:docPr id="7" name="图片 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0"/>
                    <pic:cNvPicPr>
                      <a:picLocks noChangeAspect="1"/>
                    </pic:cNvPicPr>
                  </pic:nvPicPr>
                  <pic:blipFill>
                    <a:blip r:embed="rId9"/>
                    <a:stretch>
                      <a:fillRect/>
                    </a:stretch>
                  </pic:blipFill>
                  <pic:spPr>
                    <a:xfrm>
                      <a:off x="0" y="0"/>
                      <a:ext cx="2826385" cy="282638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主讲：刘冬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日本西务文理大学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270125" cy="2270125"/>
            <wp:effectExtent l="0" t="0" r="15875" b="15875"/>
            <wp:docPr id="8" name="图片 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1"/>
                    <pic:cNvPicPr>
                      <a:picLocks noChangeAspect="1"/>
                    </pic:cNvPicPr>
                  </pic:nvPicPr>
                  <pic:blipFill>
                    <a:blip r:embed="rId10"/>
                    <a:stretch>
                      <a:fillRect/>
                    </a:stretch>
                  </pic:blipFill>
                  <pic:spPr>
                    <a:xfrm>
                      <a:off x="0" y="0"/>
                      <a:ext cx="2270125" cy="227012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主讲：大沢澈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日本西武文理大学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533015" cy="2533015"/>
            <wp:effectExtent l="0" t="0" r="635" b="635"/>
            <wp:docPr id="5" name="图片 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IMG_262"/>
                    <pic:cNvPicPr>
                      <a:picLocks noChangeAspect="1"/>
                    </pic:cNvPicPr>
                  </pic:nvPicPr>
                  <pic:blipFill>
                    <a:blip r:embed="rId11"/>
                    <a:stretch>
                      <a:fillRect/>
                    </a:stretch>
                  </pic:blipFill>
                  <pic:spPr>
                    <a:xfrm>
                      <a:off x="0" y="0"/>
                      <a:ext cx="2533015" cy="25330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主讲：李晋源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日本语学专业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日本大东文化大学毕业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留日15年</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446020" cy="2446020"/>
            <wp:effectExtent l="0" t="0" r="11430" b="11430"/>
            <wp:docPr id="10"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3"/>
                    <pic:cNvPicPr>
                      <a:picLocks noChangeAspect="1"/>
                    </pic:cNvPicPr>
                  </pic:nvPicPr>
                  <pic:blipFill>
                    <a:blip r:embed="rId12"/>
                    <a:stretch>
                      <a:fillRect/>
                    </a:stretch>
                  </pic:blipFill>
                  <pic:spPr>
                    <a:xfrm>
                      <a:off x="0" y="0"/>
                      <a:ext cx="2446020" cy="244602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主讲：富英</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日本籍外教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日本东洋大学毕业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469515" cy="2469515"/>
            <wp:effectExtent l="0" t="0" r="6985" b="6985"/>
            <wp:docPr id="4" name="图片 1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64"/>
                    <pic:cNvPicPr>
                      <a:picLocks noChangeAspect="1"/>
                    </pic:cNvPicPr>
                  </pic:nvPicPr>
                  <pic:blipFill>
                    <a:blip r:embed="rId13"/>
                    <a:stretch>
                      <a:fillRect/>
                    </a:stretch>
                  </pic:blipFill>
                  <pic:spPr>
                    <a:xfrm>
                      <a:off x="0" y="0"/>
                      <a:ext cx="2469515" cy="24695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主讲：刘畅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日语专业毕业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西安翻译学院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04770" cy="2604770"/>
            <wp:effectExtent l="0" t="0" r="5080" b="5080"/>
            <wp:docPr id="13"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65"/>
                    <pic:cNvPicPr>
                      <a:picLocks noChangeAspect="1"/>
                    </pic:cNvPicPr>
                  </pic:nvPicPr>
                  <pic:blipFill>
                    <a:blip r:embed="rId14"/>
                    <a:stretch>
                      <a:fillRect/>
                    </a:stretch>
                  </pic:blipFill>
                  <pic:spPr>
                    <a:xfrm>
                      <a:off x="0" y="0"/>
                      <a:ext cx="2604770" cy="260477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主讲：丸山大贵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日本籍外教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日本爱知文教大学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日本专门学校教师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rPr>
          <w:rFonts w:hint="eastAsia" w:ascii="微软雅黑" w:hAnsi="微软雅黑" w:eastAsia="微软雅黑" w:cs="微软雅黑"/>
          <w:b/>
          <w:bCs/>
          <w:color w:val="000000"/>
          <w:sz w:val="24"/>
          <w:szCs w:val="24"/>
        </w:rPr>
      </w:pPr>
      <w:r>
        <w:rPr>
          <w:rFonts w:hint="eastAsia" w:ascii="微软雅黑" w:hAnsi="微软雅黑" w:eastAsia="微软雅黑" w:cs="微软雅黑"/>
          <w:b/>
          <w:bCs/>
          <w:i w:val="0"/>
          <w:iCs w:val="0"/>
          <w:caps w:val="0"/>
          <w:color w:val="000000"/>
          <w:spacing w:val="0"/>
          <w:sz w:val="24"/>
          <w:szCs w:val="24"/>
          <w:shd w:val="clear" w:fill="FFFFFF"/>
        </w:rPr>
        <w:t>.STBJ标准商务日语考试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标准商务日语考试』（下称本考试同时检验应试者的日语语言运用能力以及在日企业务活动中所必需的商务知识及相关文化知识程度，以此判定在企业内部活动中的实践能力水平。因此，本考试可作为日企员工录用的参考标准及赴日留学时日语能力审查的参考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1、在企业工作中所需要的词汇、表达方面的知识，及适当运用的能力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firstLine="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3、商务场合不可欠缺的适当的敬意表达能力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firstLine="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5、掌握日本人商务活动中不可缺少的商务惯例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1、希望从事于日本有关的商务活动的大专院校学生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firstLine="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3、已在日本企业就职者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360" w:right="0" w:firstLine="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5、希望赴日留学人员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STBJ采取了以下7种测试形式，对各种能力及知识水平进行测定，从而对应试者的综合“实际商务活动能力”进行判断。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2"/>
          <w:szCs w:val="22"/>
          <w:shd w:val="clear" w:fill="FFFFFF"/>
        </w:rPr>
        <w:t>STBJ的考试是客观考试，基本上采取的是针对提问，从给出的4个选项中找出答案并将答案填入答题卡的方式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6040120" cy="878205"/>
            <wp:effectExtent l="0" t="0" r="17780" b="17145"/>
            <wp:docPr id="15" name="图片 15"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69"/>
                    <pic:cNvPicPr>
                      <a:picLocks noChangeAspect="1"/>
                    </pic:cNvPicPr>
                  </pic:nvPicPr>
                  <pic:blipFill>
                    <a:blip r:embed="rId15"/>
                    <a:stretch>
                      <a:fillRect/>
                    </a:stretch>
                  </pic:blipFill>
                  <pic:spPr>
                    <a:xfrm>
                      <a:off x="0" y="0"/>
                      <a:ext cx="6040120" cy="87820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710B72"/>
    <w:multiLevelType w:val="multilevel"/>
    <w:tmpl w:val="D5710B7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55BD6131"/>
    <w:rsid w:val="28D23530"/>
    <w:rsid w:val="55BD6131"/>
    <w:rsid w:val="5E400DC3"/>
    <w:rsid w:val="66886A01"/>
    <w:rsid w:val="77424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1312</Words>
  <Characters>1446</Characters>
  <Lines>0</Lines>
  <Paragraphs>0</Paragraphs>
  <TotalTime>1</TotalTime>
  <ScaleCrop>false</ScaleCrop>
  <LinksUpToDate>false</LinksUpToDate>
  <CharactersWithSpaces>1476</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2022-08-29T02:53:00Z</dcterms:created>
  <dc:creator>郑芸凤</dc:creator>
  <cp:lastModifiedBy>冰冰⊙▽⊙＊</cp:lastModifiedBy>
  <dcterms:modified xsi:type="dcterms:W3CDTF">2022-08-31T12:12:05Z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40CC2DBA1663468E9B86A57827083960</vt:lpwstr>
  </property>
</Properties>
</file>