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900" w:lineRule="atLeast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32"/>
          <w:szCs w:val="32"/>
        </w:rPr>
        <w:t>VR/AR全产品设计专业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课程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ascii="微软雅黑" w:hAnsi="微软雅黑" w:eastAsia="微软雅黑" w:cs="微软雅黑"/>
          <w:i w:val="0"/>
          <w:iCs w:val="0"/>
          <w:caps w:val="0"/>
          <w:color w:val="auto"/>
          <w:spacing w:val="0"/>
        </w:rPr>
      </w:pPr>
      <w:r>
        <w:rPr>
          <w:color w:val="auto"/>
        </w:rPr>
        <w:drawing>
          <wp:inline distT="0" distB="0" distL="114300" distR="114300">
            <wp:extent cx="5269230" cy="2267585"/>
            <wp:effectExtent l="0" t="0" r="7620" b="184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267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51"/>
          <w:szCs w:val="51"/>
        </w:rPr>
        <w:t>实用干货内容，从入门到精通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30" w:beforeAutospacing="0" w:after="0" w:afterAutospacing="0" w:line="450" w:lineRule="atLeast"/>
        <w:ind w:left="0" w:right="0"/>
        <w:jc w:val="center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>课程内容设置经过1年以上市场调研，企业高层参与研发，符合企业真实岗位技术需要。教授技能同时，更教授工作标准、规范和项目流程！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ascii="微软雅黑" w:hAnsi="微软雅黑" w:eastAsia="微软雅黑" w:cs="微软雅黑"/>
          <w:i w:val="0"/>
          <w:iCs w:val="0"/>
          <w:caps w:val="0"/>
          <w:color w:val="auto"/>
          <w:spacing w:val="0"/>
        </w:rPr>
      </w:pPr>
      <w:r>
        <w:rPr>
          <w:color w:val="auto"/>
        </w:rPr>
        <w:drawing>
          <wp:inline distT="0" distB="0" distL="114300" distR="114300">
            <wp:extent cx="5271770" cy="4332605"/>
            <wp:effectExtent l="0" t="0" r="5080" b="1079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4332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51"/>
          <w:szCs w:val="51"/>
        </w:rPr>
        <w:t>核心技能全面掌握，比肩专业VR/AR产品设计师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30" w:beforeAutospacing="0" w:after="0" w:afterAutospacing="0" w:line="450" w:lineRule="atLeast"/>
        <w:ind w:left="0" w:right="0"/>
        <w:jc w:val="center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>你将学习到PS、3dsMax、Unity3D、Zbrush、Unreal等行业VR/AR行业必备软件的综合运用，从场景与关卡的设计，到完整的场景巡游，再到VR产品设计……掌握VR/AR全产品设计的行业规范、方法与技巧！</w:t>
      </w:r>
    </w:p>
    <w:p>
      <w:pPr>
        <w:rPr>
          <w:color w:val="auto"/>
        </w:rPr>
      </w:pPr>
      <w:r>
        <w:rPr>
          <w:color w:val="auto"/>
        </w:rPr>
        <w:drawing>
          <wp:inline distT="0" distB="0" distL="114300" distR="114300">
            <wp:extent cx="5269230" cy="3263900"/>
            <wp:effectExtent l="0" t="0" r="7620" b="1270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26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color w:val="auto"/>
        </w:rPr>
      </w:pPr>
      <w:r>
        <w:rPr>
          <w:color w:val="auto"/>
        </w:rPr>
        <w:drawing>
          <wp:inline distT="0" distB="0" distL="114300" distR="114300">
            <wp:extent cx="5264785" cy="2401570"/>
            <wp:effectExtent l="0" t="0" r="12065" b="1778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401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ascii="微软雅黑" w:hAnsi="微软雅黑" w:eastAsia="微软雅黑" w:cs="微软雅黑"/>
          <w:i w:val="0"/>
          <w:iCs w:val="0"/>
          <w:caps w:val="0"/>
          <w:color w:val="auto"/>
          <w:spacing w:val="0"/>
        </w:rPr>
      </w:pPr>
      <w:r>
        <w:rPr>
          <w:color w:val="auto"/>
        </w:rPr>
        <w:drawing>
          <wp:inline distT="0" distB="0" distL="114300" distR="114300">
            <wp:extent cx="5271135" cy="2606040"/>
            <wp:effectExtent l="0" t="0" r="5715" b="381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606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51"/>
          <w:szCs w:val="51"/>
        </w:rPr>
        <w:t>特聘一线名企实战专家，总监&amp;经理级名师面授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30" w:beforeAutospacing="0" w:after="0" w:afterAutospacing="0" w:line="450" w:lineRule="atLeast"/>
        <w:ind w:left="0" w:right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>汇众教育每一位全职讲师都拥有5年以上项目经验及教学经验，每位老师都只教授自己专业领域内所擅长的内容。除此之外，汇众还为你外聘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>业界大师和成功项目团队，来校指导并分享成功经验。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30" w:beforeAutospacing="0" w:after="0" w:afterAutospacing="0" w:line="450" w:lineRule="atLeast"/>
        <w:ind w:left="0" w:right="0"/>
        <w:jc w:val="center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u w:val="none"/>
        </w:rPr>
        <w:fldChar w:fldCharType="begin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u w:val="none"/>
        </w:rPr>
        <w:instrText xml:space="preserve"> HYPERLINK "http://www.gamfe.com/teachers/" \t "http://www.gamfe.com/vrar/_blank" </w:instrTex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u w:val="none"/>
        </w:rPr>
        <w:fldChar w:fldCharType="separate"/>
      </w:r>
      <w:r>
        <w:rPr>
          <w:rStyle w:val="6"/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u w:val="none"/>
        </w:rPr>
        <w:t>师资详情 &gt;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u w:val="none"/>
        </w:rPr>
        <w:fldChar w:fldCharType="end"/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drawing>
          <wp:inline distT="0" distB="0" distL="114300" distR="114300">
            <wp:extent cx="4095750" cy="2971800"/>
            <wp:effectExtent l="0" t="0" r="0" b="0"/>
            <wp:docPr id="8" name="图片 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6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39"/>
          <w:szCs w:val="39"/>
        </w:rPr>
        <w:t>刘涛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t>VRAR产品设计讲师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rPr>
          <w:color w:val="auto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</w:rPr>
        <w:t>2007年入行，曾先后任职于目标软件、完美世界、天神互动、机锋网等一线企业，担任技术美术、主美、艺术总监，负责游戏产品的艺术设计、视觉标准制定、美术团队管理等工作。后从事VRAR产品设计与开发，为中央电视台、工商银行、农业银行等国有银行设计开发数款VRAR展示、交互产品。在十余年游戏、VRAR、CG产品项目经历中，主导管理、设计数十款端游、页游、手游、VRAR产品，技术覆盖传统3D技术、3转2技术、次世代技术、游戏引擎拓展应用等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drawing>
          <wp:inline distT="0" distB="0" distL="114300" distR="114300">
            <wp:extent cx="4095750" cy="2971800"/>
            <wp:effectExtent l="0" t="0" r="0" b="0"/>
            <wp:docPr id="6" name="图片 7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7" descr="IMG_25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39"/>
          <w:szCs w:val="39"/>
        </w:rPr>
        <w:t>方涛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t>VRAR产品设计讲师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rPr>
          <w:color w:val="auto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</w:rPr>
        <w:t>2004年-2008年，在杭州五花马网络科技有限公司工作。期间，分别在《挑战-星之城》项目中担任主美、主策划和项目主管， 是大型仙侠类MMORPG游戏《峥嵘天下》项目的主要负责人之一，并且在网络动画短片《超人与蝙蝠侠》系列中担任导演和编剧。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drawing>
          <wp:inline distT="0" distB="0" distL="114300" distR="114300">
            <wp:extent cx="4095750" cy="2971800"/>
            <wp:effectExtent l="0" t="0" r="0" b="0"/>
            <wp:docPr id="9" name="图片 8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8" descr="IMG_25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39"/>
          <w:szCs w:val="39"/>
        </w:rPr>
        <w:t>樊维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t>VRAR产品设计讲师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rPr>
          <w:color w:val="auto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</w:rPr>
        <w:t>他毕业成都理工大学，从业9年，曾在在成都星漫科技、成都完美时空担任角色设计师、后于成都极限天空科技有限公司端游项目主美。一直从事端游工作，熟悉端游研发流程。并对场景（2.5D和3D）制作的流程，从布局，规格，资源共用，效率（lod,分区等）均有涉及。擅长场景的分析与规划。项目作品有《功夫小子》《星尘传说》《圣斗士星矢》《青城》《众神之战》等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drawing>
          <wp:inline distT="0" distB="0" distL="114300" distR="114300">
            <wp:extent cx="4095750" cy="2971800"/>
            <wp:effectExtent l="0" t="0" r="0" b="0"/>
            <wp:docPr id="7" name="图片 9" descr="IMG_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9" descr="IMG_25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39"/>
          <w:szCs w:val="39"/>
        </w:rPr>
        <w:t>龚舒鸣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t>VRAR产品设计讲师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rPr>
          <w:color w:val="auto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</w:rPr>
        <w:t>曾入职于上海唯晶科技、上海T3网络科技、维塔士、上海起凡游戏、上海锐核软件，先后担任资深三维美术师、三维角色leader、AD职务。参与制作了《劲舞团》、《三国之天》、《AIKA 创誓记》 、《口袋妖怪》、《斗战神》、《三国争霸2》、《刺客信条》、《战神：升天》、《古墓丽影》、《最终幻想》、《Far Cry》、《美国末日》、《狙击精英》、《Hitman 》、《荣耀战魂》等等业界知名的游戏产品。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drawing>
          <wp:inline distT="0" distB="0" distL="114300" distR="114300">
            <wp:extent cx="4095750" cy="2971800"/>
            <wp:effectExtent l="0" t="0" r="0" b="0"/>
            <wp:docPr id="10" name="图片 10" descr="IMG_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IMG_26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39"/>
          <w:szCs w:val="39"/>
        </w:rPr>
        <w:t>贡东辉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t>VRAR产品设计讲师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rPr>
          <w:color w:val="auto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</w:rPr>
        <w:t>行业技术、授课经验丰富。曾任唯晶3D角色设计师、上海三艺游戏角色部主管，带领团队参与制作过多款国内外大型一线项目，如畅游《搜神记》、腾讯《天涯明月刀》、《御龙在天》、蜗牛《太阳风暴》、NCSOFT《剑灵》、网易《天谕》等。授课特点：以游戏公司的要求教导学生一步步把作品完善，在完善的同时收获成就感。讲课风趣生动、互动性强、引导学生独立思考。贡老师深受学生爱戴，很多学生慕名而来指定要报读他带的班级。</w:t>
      </w:r>
    </w:p>
    <w:p>
      <w:r>
        <w:drawing>
          <wp:inline distT="0" distB="0" distL="114300" distR="114300">
            <wp:extent cx="5267960" cy="3401060"/>
            <wp:effectExtent l="0" t="0" r="8890" b="889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401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7960" cy="3759835"/>
            <wp:effectExtent l="0" t="0" r="8890" b="1206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759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37C53E4"/>
    <w:multiLevelType w:val="multilevel"/>
    <w:tmpl w:val="237C53E4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gyODc5ZTFlYzY5NTgxY2NmZmI0YmUzNDdjZDFjNDIifQ=="/>
  </w:docVars>
  <w:rsids>
    <w:rsidRoot w:val="5C351A2D"/>
    <w:rsid w:val="4D675170"/>
    <w:rsid w:val="5C351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numbering" Target="numbering.xml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18</TotalTime>
  <ScaleCrop>false</ScaleCrop>
  <LinksUpToDate>false</LinksUpToDate>
  <CharactersWithSpaces>0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2022-07-13T06:46:00Z</dcterms:created>
  <dc:creator>郑芸凤</dc:creator>
  <cp:lastModifiedBy>冰冰⊙▽⊙＊</cp:lastModifiedBy>
  <dcterms:modified xsi:type="dcterms:W3CDTF">2022-07-15T09:47:46Z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A1EB7268815942F1985E061124471F3E</vt:lpwstr>
  </property>
</Properties>
</file>