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rFonts w:hint="eastAsia"/>
          <w:b/>
          <w:sz w:val="32"/>
          <w:szCs w:val="32"/>
        </w:rPr>
        <w:t>浙江工业大学与英国利兹贝克特大学合作举办</w:t>
      </w:r>
    </w:p>
    <w:p>
      <w:pPr>
        <w:jc w:val="center"/>
        <w:rPr>
          <w:b/>
          <w:sz w:val="32"/>
          <w:szCs w:val="32"/>
        </w:rPr>
      </w:pPr>
      <w:r>
        <w:rPr>
          <w:rFonts w:hint="eastAsia"/>
          <w:b/>
          <w:sz w:val="32"/>
          <w:szCs w:val="32"/>
          <w:lang w:eastAsia="zh-CN"/>
        </w:rPr>
        <w:t>“</w:t>
      </w:r>
      <w:r>
        <w:rPr>
          <w:rFonts w:hint="eastAsia"/>
          <w:b/>
          <w:sz w:val="32"/>
          <w:szCs w:val="32"/>
        </w:rPr>
        <w:t>国际贸易与金融</w:t>
      </w:r>
      <w:r>
        <w:rPr>
          <w:rFonts w:hint="eastAsia"/>
          <w:b/>
          <w:sz w:val="32"/>
          <w:szCs w:val="32"/>
          <w:lang w:eastAsia="zh-CN"/>
        </w:rPr>
        <w:t>”</w:t>
      </w:r>
      <w:r>
        <w:rPr>
          <w:rFonts w:hint="eastAsia"/>
          <w:b/>
          <w:sz w:val="32"/>
          <w:szCs w:val="32"/>
        </w:rPr>
        <w:t>硕士学位教育招生简章</w:t>
      </w:r>
    </w:p>
    <w:p>
      <w:pPr>
        <w:jc w:val="center"/>
      </w:pPr>
    </w:p>
    <w:p>
      <w:pPr>
        <w:ind w:firstLine="405" w:firstLineChars="193"/>
        <w:rPr>
          <w:rFonts w:hint="eastAsia"/>
          <w:szCs w:val="21"/>
        </w:rPr>
      </w:pPr>
      <w:r>
        <w:rPr>
          <w:rFonts w:hint="eastAsia"/>
          <w:szCs w:val="21"/>
        </w:rPr>
        <w:t>经国务院学位委员会</w:t>
      </w:r>
      <w:r>
        <w:rPr>
          <w:szCs w:val="21"/>
        </w:rPr>
        <w:t>2003</w:t>
      </w:r>
      <w:r>
        <w:rPr>
          <w:rFonts w:hint="eastAsia"/>
          <w:szCs w:val="21"/>
        </w:rPr>
        <w:t>年（学位办【</w:t>
      </w:r>
      <w:r>
        <w:rPr>
          <w:szCs w:val="21"/>
        </w:rPr>
        <w:t>2003</w:t>
      </w:r>
      <w:r>
        <w:rPr>
          <w:rFonts w:hint="eastAsia"/>
          <w:szCs w:val="21"/>
        </w:rPr>
        <w:t>】</w:t>
      </w:r>
      <w:r>
        <w:rPr>
          <w:szCs w:val="21"/>
        </w:rPr>
        <w:t>63</w:t>
      </w:r>
      <w:r>
        <w:rPr>
          <w:rFonts w:hint="eastAsia"/>
          <w:szCs w:val="21"/>
        </w:rPr>
        <w:t>号文件）批准，我校和英国利兹贝克特大学合作举办国际贸易与金融硕士学位教育项目（项目许可证编号：</w:t>
      </w:r>
      <w:r>
        <w:rPr>
          <w:szCs w:val="21"/>
        </w:rPr>
        <w:t>MOE33GB1A20030104O</w:t>
      </w:r>
      <w:r>
        <w:rPr>
          <w:rFonts w:hint="eastAsia"/>
          <w:szCs w:val="21"/>
        </w:rPr>
        <w:t>）。目前，该项目已招收16届学生，共计600余人。</w:t>
      </w:r>
    </w:p>
    <w:p>
      <w:pPr>
        <w:ind w:firstLine="405" w:firstLineChars="193"/>
        <w:rPr>
          <w:rFonts w:hint="eastAsia"/>
          <w:szCs w:val="21"/>
        </w:rPr>
      </w:pPr>
    </w:p>
    <w:p>
      <w:pPr>
        <w:numPr>
          <w:ilvl w:val="0"/>
          <w:numId w:val="1"/>
        </w:numPr>
        <w:rPr>
          <w:b/>
        </w:rPr>
      </w:pPr>
      <w:r>
        <w:rPr>
          <w:rFonts w:hint="eastAsia"/>
          <w:b/>
        </w:rPr>
        <w:t>办学优势明显</w:t>
      </w:r>
      <w:r>
        <w:rPr>
          <w:b/>
        </w:rPr>
        <w:t>,</w:t>
      </w:r>
      <w:r>
        <w:rPr>
          <w:rFonts w:hint="eastAsia"/>
          <w:b/>
        </w:rPr>
        <w:t>学位物超所值</w:t>
      </w:r>
    </w:p>
    <w:p>
      <w:r>
        <w:t xml:space="preserve">1. </w:t>
      </w:r>
      <w:r>
        <w:rPr>
          <w:rFonts w:hint="eastAsia"/>
        </w:rPr>
        <w:t>规范性</w:t>
      </w:r>
      <w:r>
        <w:t>----</w:t>
      </w:r>
      <w:r>
        <w:rPr>
          <w:rFonts w:hint="eastAsia"/>
        </w:rPr>
        <w:t>国家批准</w:t>
      </w:r>
      <w:r>
        <w:rPr>
          <w:rFonts w:hint="eastAsia"/>
          <w:lang w:val="en-US" w:eastAsia="zh-CN"/>
        </w:rPr>
        <w:t>(</w:t>
      </w:r>
      <w:r>
        <w:rPr>
          <w:rFonts w:hint="eastAsia"/>
        </w:rPr>
        <w:t>合作办学项目批准书编号：</w:t>
      </w:r>
      <w:r>
        <w:t>MOE33GB1A20030104O</w:t>
      </w:r>
      <w:r>
        <w:rPr>
          <w:rFonts w:hint="eastAsia"/>
          <w:lang w:val="en-US" w:eastAsia="zh-CN"/>
        </w:rPr>
        <w:t>)</w:t>
      </w:r>
      <w:r>
        <w:rPr>
          <w:rFonts w:hint="eastAsia"/>
        </w:rPr>
        <w:t>，全外教授课。</w:t>
      </w:r>
    </w:p>
    <w:p>
      <w:r>
        <w:t xml:space="preserve">2. </w:t>
      </w:r>
      <w:r>
        <w:rPr>
          <w:rFonts w:hint="eastAsia"/>
        </w:rPr>
        <w:t>时间短</w:t>
      </w:r>
      <w:r>
        <w:t>----</w:t>
      </w:r>
      <w:r>
        <w:rPr>
          <w:rFonts w:hint="eastAsia"/>
        </w:rPr>
        <w:t>学制一年，</w:t>
      </w:r>
      <w:r>
        <w:t>9</w:t>
      </w:r>
      <w:r>
        <w:rPr>
          <w:rFonts w:hint="eastAsia"/>
        </w:rPr>
        <w:t>月秋季入学，次年</w:t>
      </w:r>
      <w:r>
        <w:t>11</w:t>
      </w:r>
      <w:r>
        <w:rPr>
          <w:rFonts w:hint="eastAsia"/>
        </w:rPr>
        <w:t>月毕业。（随疫情发展会做相应调整）</w:t>
      </w:r>
    </w:p>
    <w:p>
      <w:pPr>
        <w:rPr>
          <w:rFonts w:ascii="宋体" w:cs="宋体"/>
          <w:kern w:val="0"/>
          <w:szCs w:val="21"/>
        </w:rPr>
      </w:pPr>
      <w:r>
        <w:t xml:space="preserve">3. </w:t>
      </w:r>
      <w:r>
        <w:rPr>
          <w:rFonts w:hint="eastAsia"/>
        </w:rPr>
        <w:t>机会多</w:t>
      </w:r>
      <w:r>
        <w:t>-----</w:t>
      </w:r>
      <w:r>
        <w:rPr>
          <w:rFonts w:hint="eastAsia" w:ascii="宋体" w:hAnsi="宋体" w:cs="宋体"/>
          <w:kern w:val="0"/>
          <w:szCs w:val="21"/>
        </w:rPr>
        <w:t>在学期间可申请赴英国完成第二学期课程（需达到雅思6.0），手续简便。</w:t>
      </w:r>
    </w:p>
    <w:p>
      <w:r>
        <w:t xml:space="preserve">4. </w:t>
      </w:r>
      <w:r>
        <w:rPr>
          <w:rFonts w:hint="eastAsia"/>
        </w:rPr>
        <w:t>费用省</w:t>
      </w:r>
      <w:r>
        <w:t>----</w:t>
      </w:r>
      <w:r>
        <w:rPr>
          <w:rFonts w:hint="eastAsia"/>
        </w:rPr>
        <w:t>学费9</w:t>
      </w:r>
      <w:r>
        <w:t>6000</w:t>
      </w:r>
      <w:r>
        <w:rPr>
          <w:rFonts w:hint="eastAsia"/>
        </w:rPr>
        <w:t>元人民币。</w:t>
      </w:r>
    </w:p>
    <w:p>
      <w:r>
        <w:t xml:space="preserve">5. </w:t>
      </w:r>
      <w:r>
        <w:rPr>
          <w:rFonts w:hint="eastAsia"/>
        </w:rPr>
        <w:t>起点低</w:t>
      </w:r>
      <w:r>
        <w:t>----</w:t>
      </w:r>
      <w:r>
        <w:rPr>
          <w:rFonts w:hint="eastAsia"/>
        </w:rPr>
        <w:t>专科毕业即可申请，不设专业限制皆可报名。</w:t>
      </w:r>
    </w:p>
    <w:p>
      <w:pPr>
        <w:ind w:left="1155" w:hanging="1155" w:hangingChars="550"/>
      </w:pPr>
      <w:r>
        <w:t xml:space="preserve">6. </w:t>
      </w:r>
      <w:r>
        <w:rPr>
          <w:rFonts w:hint="eastAsia"/>
        </w:rPr>
        <w:t>就业好</w:t>
      </w:r>
      <w:r>
        <w:t>----</w:t>
      </w:r>
      <w:r>
        <w:rPr>
          <w:rFonts w:hint="eastAsia"/>
        </w:rPr>
        <w:t>本项目已有</w:t>
      </w:r>
      <w:r>
        <w:t>1</w:t>
      </w:r>
      <w:r>
        <w:rPr>
          <w:rFonts w:hint="eastAsia"/>
        </w:rPr>
        <w:t>6届毕业生，就职行业遍布跨国公司、中外金融机构、政府部门、高等院校、事业单位、知名上市公司等。</w:t>
      </w:r>
    </w:p>
    <w:p>
      <w:pPr>
        <w:ind w:left="1155" w:hanging="1155" w:hangingChars="550"/>
      </w:pPr>
      <w:r>
        <w:t xml:space="preserve">7. </w:t>
      </w:r>
      <w:r>
        <w:rPr>
          <w:rFonts w:hint="eastAsia"/>
        </w:rPr>
        <w:t>学历高</w:t>
      </w:r>
      <w:r>
        <w:t>----</w:t>
      </w:r>
      <w:r>
        <w:rPr>
          <w:rFonts w:hint="eastAsia"/>
        </w:rPr>
        <w:t>毕业生可获中国教育部留学服务中心认证的学历学位证书，可参加公务员等国家考试。</w:t>
      </w:r>
    </w:p>
    <w:p>
      <w:pPr>
        <w:rPr>
          <w:rFonts w:ascii="宋体" w:cs="宋体"/>
          <w:kern w:val="0"/>
          <w:szCs w:val="21"/>
        </w:rPr>
      </w:pPr>
      <w:r>
        <w:t>8</w:t>
      </w:r>
      <w:r>
        <w:rPr>
          <w:rFonts w:hint="eastAsia"/>
        </w:rPr>
        <w:t>．提升高</w:t>
      </w:r>
      <w:r>
        <w:t>----</w:t>
      </w:r>
      <w:r>
        <w:rPr>
          <w:rFonts w:hint="eastAsia" w:ascii="宋体" w:hAnsi="宋体" w:cs="宋体"/>
          <w:kern w:val="0"/>
          <w:szCs w:val="21"/>
        </w:rPr>
        <w:t>项目由全外教授课，原版教材，完全应用英国本土硕士教育模式，使你在语言、思维和理念上全面提高。</w:t>
      </w:r>
    </w:p>
    <w:p>
      <w:pPr>
        <w:rPr>
          <w:rFonts w:ascii="宋体" w:cs="宋体"/>
          <w:kern w:val="0"/>
          <w:szCs w:val="21"/>
        </w:rPr>
      </w:pPr>
      <w:r>
        <w:rPr>
          <w:rFonts w:ascii="宋体" w:hAnsi="宋体" w:cs="宋体"/>
          <w:kern w:val="0"/>
          <w:szCs w:val="21"/>
        </w:rPr>
        <w:t xml:space="preserve">9. </w:t>
      </w:r>
      <w:r>
        <w:rPr>
          <w:rFonts w:hint="eastAsia" w:ascii="宋体" w:hAnsi="宋体" w:cs="宋体"/>
          <w:kern w:val="0"/>
          <w:szCs w:val="21"/>
        </w:rPr>
        <w:t>障碍小</w:t>
      </w:r>
      <w:r>
        <w:rPr>
          <w:rFonts w:ascii="宋体" w:cs="宋体"/>
          <w:kern w:val="0"/>
          <w:szCs w:val="21"/>
        </w:rPr>
        <w:t>----</w:t>
      </w:r>
      <w:r>
        <w:rPr>
          <w:rFonts w:hint="eastAsia" w:ascii="宋体" w:hAnsi="宋体" w:cs="宋体"/>
          <w:kern w:val="0"/>
          <w:szCs w:val="21"/>
        </w:rPr>
        <w:t>每门课程均配备一位资深中方导师全程辅导，减少文化沟通障碍。</w:t>
      </w:r>
    </w:p>
    <w:p>
      <w:pPr>
        <w:rPr>
          <w:rFonts w:hint="eastAsia" w:ascii="宋体" w:hAnsi="宋体" w:cs="宋体"/>
          <w:kern w:val="0"/>
          <w:szCs w:val="21"/>
        </w:rPr>
      </w:pPr>
      <w:r>
        <w:rPr>
          <w:rFonts w:ascii="宋体" w:hAnsi="宋体" w:cs="宋体"/>
          <w:kern w:val="0"/>
          <w:szCs w:val="21"/>
        </w:rPr>
        <w:t xml:space="preserve">10. </w:t>
      </w:r>
      <w:r>
        <w:rPr>
          <w:rFonts w:hint="eastAsia" w:ascii="宋体" w:hAnsi="宋体" w:cs="宋体"/>
          <w:kern w:val="0"/>
          <w:szCs w:val="21"/>
        </w:rPr>
        <w:t>资源多</w:t>
      </w:r>
      <w:r>
        <w:rPr>
          <w:rFonts w:ascii="宋体" w:cs="宋体"/>
          <w:kern w:val="0"/>
          <w:szCs w:val="21"/>
        </w:rPr>
        <w:t>---</w:t>
      </w:r>
      <w:r>
        <w:rPr>
          <w:rFonts w:hint="eastAsia" w:ascii="宋体" w:hAnsi="宋体" w:cs="宋体"/>
          <w:kern w:val="0"/>
          <w:szCs w:val="21"/>
        </w:rPr>
        <w:t>学生同时拥有利兹贝克特大学的正式注册学籍，与英国学生一样便捷使用英方所有网络教学资源。</w:t>
      </w:r>
    </w:p>
    <w:p>
      <w:pPr>
        <w:rPr>
          <w:rFonts w:hint="eastAsia" w:ascii="宋体" w:hAnsi="宋体" w:cs="宋体"/>
          <w:kern w:val="0"/>
          <w:szCs w:val="21"/>
        </w:rPr>
      </w:pPr>
    </w:p>
    <w:p>
      <w:pPr>
        <w:widowControl/>
        <w:spacing w:line="330" w:lineRule="atLeast"/>
        <w:jc w:val="left"/>
        <w:rPr>
          <w:rFonts w:ascii="宋体" w:cs="宋体"/>
          <w:kern w:val="0"/>
          <w:szCs w:val="21"/>
        </w:rPr>
      </w:pPr>
      <w:r>
        <w:rPr>
          <w:rFonts w:hint="eastAsia" w:ascii="宋体" w:hAnsi="宋体" w:cs="宋体"/>
          <w:b/>
          <w:bCs/>
          <w:kern w:val="0"/>
          <w:szCs w:val="21"/>
        </w:rPr>
        <w:t>★课程设置科学合理，体现国际化精英教育水准</w:t>
      </w:r>
    </w:p>
    <w:p>
      <w:pPr>
        <w:widowControl/>
        <w:spacing w:line="330" w:lineRule="atLeast"/>
        <w:jc w:val="left"/>
        <w:rPr>
          <w:rFonts w:ascii="宋体" w:cs="宋体"/>
          <w:kern w:val="0"/>
          <w:szCs w:val="21"/>
        </w:rPr>
      </w:pPr>
      <w:r>
        <w:rPr>
          <w:rFonts w:hint="eastAsia" w:ascii="宋体" w:hAnsi="宋体" w:cs="宋体"/>
          <w:kern w:val="0"/>
          <w:szCs w:val="21"/>
        </w:rPr>
        <w:t>每年</w:t>
      </w:r>
      <w:r>
        <w:rPr>
          <w:rFonts w:ascii="宋体" w:hAnsi="宋体" w:cs="宋体"/>
          <w:kern w:val="0"/>
          <w:szCs w:val="21"/>
        </w:rPr>
        <w:t>9</w:t>
      </w:r>
      <w:r>
        <w:rPr>
          <w:rFonts w:hint="eastAsia" w:ascii="宋体" w:hAnsi="宋体" w:cs="宋体"/>
          <w:kern w:val="0"/>
          <w:szCs w:val="21"/>
        </w:rPr>
        <w:t>月开学，课程共设有7个教学模块，</w:t>
      </w:r>
      <w:r>
        <w:rPr>
          <w:rFonts w:ascii="宋体" w:hAnsi="宋体" w:cs="宋体"/>
          <w:kern w:val="0"/>
          <w:szCs w:val="21"/>
        </w:rPr>
        <w:t>180</w:t>
      </w:r>
      <w:r>
        <w:rPr>
          <w:rFonts w:hint="eastAsia" w:ascii="宋体" w:hAnsi="宋体" w:cs="宋体"/>
          <w:kern w:val="0"/>
          <w:szCs w:val="21"/>
        </w:rPr>
        <w:t>个学分：</w:t>
      </w:r>
    </w:p>
    <w:tbl>
      <w:tblPr>
        <w:tblStyle w:val="5"/>
        <w:tblW w:w="8214" w:type="dxa"/>
        <w:jc w:val="center"/>
        <w:tblLayout w:type="fixed"/>
        <w:tblCellMar>
          <w:top w:w="0" w:type="dxa"/>
          <w:left w:w="0" w:type="dxa"/>
          <w:bottom w:w="0" w:type="dxa"/>
          <w:right w:w="0" w:type="dxa"/>
        </w:tblCellMar>
      </w:tblPr>
      <w:tblGrid>
        <w:gridCol w:w="4065"/>
        <w:gridCol w:w="4149"/>
      </w:tblGrid>
      <w:tr>
        <w:tblPrEx>
          <w:tblCellMar>
            <w:top w:w="0" w:type="dxa"/>
            <w:left w:w="0" w:type="dxa"/>
            <w:bottom w:w="0" w:type="dxa"/>
            <w:right w:w="0" w:type="dxa"/>
          </w:tblCellMar>
        </w:tblPrEx>
        <w:trPr>
          <w:trHeight w:val="507" w:hRule="atLeast"/>
          <w:jc w:val="center"/>
        </w:trPr>
        <w:tc>
          <w:tcPr>
            <w:tcW w:w="4065" w:type="dxa"/>
            <w:tcBorders>
              <w:top w:val="outset" w:color="000000" w:sz="8" w:space="0"/>
              <w:left w:val="outset" w:color="000000" w:sz="8" w:space="0"/>
              <w:bottom w:val="outset" w:color="000000" w:sz="8" w:space="0"/>
              <w:right w:val="outset" w:color="000000" w:sz="8" w:space="0"/>
            </w:tcBorders>
            <w:tcMar>
              <w:top w:w="0" w:type="dxa"/>
              <w:left w:w="108" w:type="dxa"/>
              <w:bottom w:w="0" w:type="dxa"/>
              <w:right w:w="108" w:type="dxa"/>
            </w:tcMar>
            <w:vAlign w:val="center"/>
          </w:tcPr>
          <w:p>
            <w:pPr>
              <w:jc w:val="center"/>
              <w:rPr>
                <w:b/>
                <w:bCs/>
              </w:rPr>
            </w:pPr>
            <w:r>
              <w:rPr>
                <w:rFonts w:hint="eastAsia"/>
                <w:b/>
                <w:bCs/>
              </w:rPr>
              <w:t>第一学期</w:t>
            </w:r>
          </w:p>
          <w:p>
            <w:pPr>
              <w:jc w:val="center"/>
              <w:rPr>
                <w:kern w:val="0"/>
                <w:sz w:val="24"/>
              </w:rPr>
            </w:pPr>
            <w:r>
              <w:rPr>
                <w:b/>
                <w:bCs/>
              </w:rPr>
              <w:t>Semester 1</w:t>
            </w:r>
          </w:p>
        </w:tc>
        <w:tc>
          <w:tcPr>
            <w:tcW w:w="4149" w:type="dxa"/>
            <w:tcBorders>
              <w:top w:val="outset" w:color="000000" w:sz="8" w:space="0"/>
              <w:left w:val="single" w:color="auto" w:sz="6" w:space="0"/>
              <w:bottom w:val="outset" w:color="000000" w:sz="8" w:space="0"/>
              <w:right w:val="outset" w:color="000000" w:sz="8" w:space="0"/>
            </w:tcBorders>
            <w:tcMar>
              <w:top w:w="0" w:type="dxa"/>
              <w:left w:w="108" w:type="dxa"/>
              <w:bottom w:w="0" w:type="dxa"/>
              <w:right w:w="108" w:type="dxa"/>
            </w:tcMar>
            <w:vAlign w:val="center"/>
          </w:tcPr>
          <w:p>
            <w:pPr>
              <w:jc w:val="center"/>
              <w:rPr>
                <w:b/>
                <w:bCs/>
              </w:rPr>
            </w:pPr>
            <w:r>
              <w:rPr>
                <w:rFonts w:hint="eastAsia"/>
                <w:b/>
                <w:bCs/>
              </w:rPr>
              <w:t>第二学期</w:t>
            </w:r>
          </w:p>
          <w:p>
            <w:pPr>
              <w:jc w:val="center"/>
              <w:rPr>
                <w:kern w:val="0"/>
                <w:sz w:val="24"/>
              </w:rPr>
            </w:pPr>
            <w:r>
              <w:rPr>
                <w:b/>
                <w:bCs/>
              </w:rPr>
              <w:t>Semester 2</w:t>
            </w:r>
          </w:p>
        </w:tc>
      </w:tr>
      <w:tr>
        <w:tblPrEx>
          <w:tblCellMar>
            <w:top w:w="0" w:type="dxa"/>
            <w:left w:w="0" w:type="dxa"/>
            <w:bottom w:w="0" w:type="dxa"/>
            <w:right w:w="0" w:type="dxa"/>
          </w:tblCellMar>
        </w:tblPrEx>
        <w:trPr>
          <w:trHeight w:val="864" w:hRule="atLeast"/>
          <w:jc w:val="center"/>
        </w:trPr>
        <w:tc>
          <w:tcPr>
            <w:tcW w:w="4065" w:type="dxa"/>
            <w:tcBorders>
              <w:top w:val="single" w:color="auto" w:sz="6" w:space="0"/>
              <w:left w:val="outset" w:color="000000" w:sz="8" w:space="0"/>
              <w:bottom w:val="outset" w:color="000000" w:sz="8" w:space="0"/>
              <w:right w:val="outset" w:color="000000" w:sz="8" w:space="0"/>
            </w:tcBorders>
            <w:tcMar>
              <w:top w:w="0" w:type="dxa"/>
              <w:left w:w="108" w:type="dxa"/>
              <w:bottom w:w="0" w:type="dxa"/>
              <w:right w:w="108" w:type="dxa"/>
            </w:tcMar>
            <w:vAlign w:val="center"/>
          </w:tcPr>
          <w:p>
            <w:pPr>
              <w:jc w:val="center"/>
            </w:pPr>
            <w:r>
              <w:rPr>
                <w:rFonts w:hint="eastAsia"/>
              </w:rPr>
              <w:t>国际贸易经济学</w:t>
            </w:r>
          </w:p>
          <w:p>
            <w:pPr>
              <w:jc w:val="center"/>
            </w:pPr>
            <w:r>
              <w:t>Economics of International Trade</w:t>
            </w:r>
          </w:p>
          <w:p>
            <w:pPr>
              <w:jc w:val="center"/>
              <w:rPr>
                <w:kern w:val="0"/>
                <w:sz w:val="24"/>
              </w:rPr>
            </w:pPr>
            <w:r>
              <w:t xml:space="preserve"> (20 credits)</w:t>
            </w:r>
          </w:p>
        </w:tc>
        <w:tc>
          <w:tcPr>
            <w:tcW w:w="4149" w:type="dxa"/>
            <w:tcBorders>
              <w:top w:val="single" w:color="auto" w:sz="6" w:space="0"/>
              <w:left w:val="single" w:color="auto" w:sz="6" w:space="0"/>
              <w:bottom w:val="outset" w:color="000000" w:sz="8" w:space="0"/>
              <w:right w:val="outset" w:color="000000" w:sz="8" w:space="0"/>
            </w:tcBorders>
            <w:tcMar>
              <w:top w:w="0" w:type="dxa"/>
              <w:left w:w="108" w:type="dxa"/>
              <w:bottom w:w="0" w:type="dxa"/>
              <w:right w:w="108" w:type="dxa"/>
            </w:tcMar>
            <w:vAlign w:val="center"/>
          </w:tcPr>
          <w:p>
            <w:pPr>
              <w:jc w:val="center"/>
              <w:rPr>
                <w:szCs w:val="21"/>
              </w:rPr>
            </w:pPr>
            <w:r>
              <w:rPr>
                <w:rFonts w:hint="eastAsia"/>
                <w:szCs w:val="21"/>
              </w:rPr>
              <w:t>国际贸易发展与增长</w:t>
            </w:r>
          </w:p>
          <w:p>
            <w:pPr>
              <w:jc w:val="center"/>
              <w:rPr>
                <w:kern w:val="0"/>
                <w:sz w:val="24"/>
              </w:rPr>
            </w:pPr>
            <w:r>
              <w:t>Trade, Development and Growth (20 credits)</w:t>
            </w:r>
          </w:p>
        </w:tc>
      </w:tr>
      <w:tr>
        <w:tblPrEx>
          <w:tblCellMar>
            <w:top w:w="0" w:type="dxa"/>
            <w:left w:w="0" w:type="dxa"/>
            <w:bottom w:w="0" w:type="dxa"/>
            <w:right w:w="0" w:type="dxa"/>
          </w:tblCellMar>
        </w:tblPrEx>
        <w:trPr>
          <w:trHeight w:val="836" w:hRule="atLeast"/>
          <w:jc w:val="center"/>
        </w:trPr>
        <w:tc>
          <w:tcPr>
            <w:tcW w:w="4065" w:type="dxa"/>
            <w:tcBorders>
              <w:top w:val="single" w:color="auto" w:sz="6" w:space="0"/>
              <w:left w:val="outset" w:color="000000" w:sz="8" w:space="0"/>
              <w:bottom w:val="outset" w:color="000000" w:sz="8" w:space="0"/>
              <w:right w:val="outset" w:color="000000" w:sz="8" w:space="0"/>
            </w:tcBorders>
            <w:tcMar>
              <w:top w:w="0" w:type="dxa"/>
              <w:left w:w="108" w:type="dxa"/>
              <w:bottom w:w="0" w:type="dxa"/>
              <w:right w:w="108" w:type="dxa"/>
            </w:tcMar>
            <w:vAlign w:val="center"/>
          </w:tcPr>
          <w:p>
            <w:pPr>
              <w:widowControl/>
              <w:jc w:val="center"/>
              <w:rPr>
                <w:rFonts w:ascii="??,Verdana,Arial" w:hAnsi="??,Verdana,Arial" w:cs="宋体"/>
                <w:kern w:val="0"/>
                <w:szCs w:val="21"/>
              </w:rPr>
            </w:pPr>
            <w:r>
              <w:rPr>
                <w:rFonts w:hint="eastAsia" w:ascii="??,Verdana,Arial" w:hAnsi="??,Verdana,Arial" w:cs="宋体"/>
                <w:kern w:val="0"/>
                <w:szCs w:val="21"/>
              </w:rPr>
              <w:t>国际金融管理</w:t>
            </w:r>
          </w:p>
          <w:p>
            <w:pPr>
              <w:jc w:val="center"/>
              <w:rPr>
                <w:kern w:val="0"/>
                <w:sz w:val="24"/>
              </w:rPr>
            </w:pPr>
            <w:r>
              <w:t>Management of International Finance (20 credits)</w:t>
            </w:r>
          </w:p>
        </w:tc>
        <w:tc>
          <w:tcPr>
            <w:tcW w:w="4149" w:type="dxa"/>
            <w:tcBorders>
              <w:top w:val="single" w:color="auto" w:sz="6" w:space="0"/>
              <w:left w:val="single" w:color="auto" w:sz="6" w:space="0"/>
              <w:bottom w:val="outset" w:color="000000" w:sz="8" w:space="0"/>
              <w:right w:val="outset" w:color="000000" w:sz="8" w:space="0"/>
            </w:tcBorders>
            <w:tcMar>
              <w:top w:w="0" w:type="dxa"/>
              <w:left w:w="108" w:type="dxa"/>
              <w:bottom w:w="0" w:type="dxa"/>
              <w:right w:w="108" w:type="dxa"/>
            </w:tcMar>
            <w:vAlign w:val="center"/>
          </w:tcPr>
          <w:p>
            <w:pPr>
              <w:jc w:val="center"/>
            </w:pPr>
            <w:r>
              <w:rPr>
                <w:rFonts w:hint="eastAsia"/>
              </w:rPr>
              <w:t>国际公司财务</w:t>
            </w:r>
          </w:p>
          <w:p>
            <w:pPr>
              <w:jc w:val="center"/>
              <w:rPr>
                <w:kern w:val="0"/>
                <w:sz w:val="24"/>
              </w:rPr>
            </w:pPr>
            <w:r>
              <w:t>International Corporate Finance (20 credits)</w:t>
            </w:r>
          </w:p>
        </w:tc>
      </w:tr>
      <w:tr>
        <w:tblPrEx>
          <w:tblCellMar>
            <w:top w:w="0" w:type="dxa"/>
            <w:left w:w="0" w:type="dxa"/>
            <w:bottom w:w="0" w:type="dxa"/>
            <w:right w:w="0" w:type="dxa"/>
          </w:tblCellMar>
        </w:tblPrEx>
        <w:trPr>
          <w:trHeight w:val="685" w:hRule="atLeast"/>
          <w:jc w:val="center"/>
        </w:trPr>
        <w:tc>
          <w:tcPr>
            <w:tcW w:w="4065" w:type="dxa"/>
            <w:tcBorders>
              <w:top w:val="single" w:color="auto" w:sz="6" w:space="0"/>
              <w:left w:val="outset" w:color="000000" w:sz="8" w:space="0"/>
              <w:bottom w:val="outset" w:color="000000" w:sz="8" w:space="0"/>
              <w:right w:val="outset" w:color="000000" w:sz="8" w:space="0"/>
            </w:tcBorders>
            <w:tcMar>
              <w:top w:w="0" w:type="dxa"/>
              <w:left w:w="108" w:type="dxa"/>
              <w:bottom w:w="0" w:type="dxa"/>
              <w:right w:w="108" w:type="dxa"/>
            </w:tcMar>
            <w:vAlign w:val="center"/>
          </w:tcPr>
          <w:p>
            <w:pPr>
              <w:jc w:val="center"/>
            </w:pPr>
            <w:r>
              <w:rPr>
                <w:rFonts w:hint="eastAsia"/>
              </w:rPr>
              <w:t>国际贸易法</w:t>
            </w:r>
          </w:p>
          <w:p>
            <w:pPr>
              <w:jc w:val="center"/>
              <w:rPr>
                <w:kern w:val="0"/>
                <w:sz w:val="24"/>
              </w:rPr>
            </w:pPr>
            <w:r>
              <w:t xml:space="preserve">International Trade Law (20 credits) </w:t>
            </w:r>
          </w:p>
        </w:tc>
        <w:tc>
          <w:tcPr>
            <w:tcW w:w="4149" w:type="dxa"/>
            <w:tcBorders>
              <w:top w:val="single" w:color="auto" w:sz="6" w:space="0"/>
              <w:left w:val="single" w:color="auto" w:sz="6" w:space="0"/>
              <w:bottom w:val="outset" w:color="000000" w:sz="8" w:space="0"/>
              <w:right w:val="outset" w:color="000000" w:sz="8" w:space="0"/>
            </w:tcBorders>
            <w:tcMar>
              <w:top w:w="0" w:type="dxa"/>
              <w:left w:w="108" w:type="dxa"/>
              <w:bottom w:w="0" w:type="dxa"/>
              <w:right w:w="108" w:type="dxa"/>
            </w:tcMar>
            <w:vAlign w:val="center"/>
          </w:tcPr>
          <w:p>
            <w:pPr>
              <w:jc w:val="center"/>
            </w:pPr>
            <w:r>
              <w:rPr>
                <w:rFonts w:hint="eastAsia"/>
              </w:rPr>
              <w:t>选修课：经济学概述</w:t>
            </w:r>
          </w:p>
          <w:p>
            <w:pPr>
              <w:jc w:val="center"/>
              <w:rPr>
                <w:kern w:val="0"/>
                <w:sz w:val="24"/>
              </w:rPr>
            </w:pPr>
            <w:r>
              <w:t xml:space="preserve">Understanding </w:t>
            </w:r>
            <w:r>
              <w:rPr>
                <w:rFonts w:hint="eastAsia"/>
              </w:rPr>
              <w:t>of</w:t>
            </w:r>
            <w:r>
              <w:t xml:space="preserve"> Economy (20 credits)</w:t>
            </w:r>
          </w:p>
        </w:tc>
      </w:tr>
      <w:tr>
        <w:tblPrEx>
          <w:tblCellMar>
            <w:top w:w="0" w:type="dxa"/>
            <w:left w:w="0" w:type="dxa"/>
            <w:bottom w:w="0" w:type="dxa"/>
            <w:right w:w="0" w:type="dxa"/>
          </w:tblCellMar>
        </w:tblPrEx>
        <w:trPr>
          <w:trHeight w:val="605" w:hRule="atLeast"/>
          <w:jc w:val="center"/>
        </w:trPr>
        <w:tc>
          <w:tcPr>
            <w:tcW w:w="4065" w:type="dxa"/>
            <w:tcBorders>
              <w:top w:val="single" w:color="auto" w:sz="6" w:space="0"/>
              <w:left w:val="outset" w:color="000000" w:sz="8" w:space="0"/>
              <w:bottom w:val="outset" w:color="000000" w:sz="8" w:space="0"/>
              <w:right w:val="outset" w:color="000000" w:sz="8" w:space="0"/>
            </w:tcBorders>
            <w:tcMar>
              <w:top w:w="0" w:type="dxa"/>
              <w:left w:w="108" w:type="dxa"/>
              <w:bottom w:w="0" w:type="dxa"/>
              <w:right w:w="108" w:type="dxa"/>
            </w:tcMar>
            <w:vAlign w:val="center"/>
          </w:tcPr>
          <w:p>
            <w:pPr>
              <w:jc w:val="center"/>
            </w:pPr>
            <w:r>
              <w:rPr>
                <w:rFonts w:hint="eastAsia"/>
              </w:rPr>
              <w:t>研究方法</w:t>
            </w:r>
          </w:p>
          <w:p>
            <w:pPr>
              <w:jc w:val="center"/>
              <w:rPr>
                <w:kern w:val="0"/>
                <w:sz w:val="24"/>
              </w:rPr>
            </w:pPr>
            <w:r>
              <w:t>Research Method (20 credits)</w:t>
            </w:r>
          </w:p>
        </w:tc>
        <w:tc>
          <w:tcPr>
            <w:tcW w:w="4149" w:type="dxa"/>
            <w:tcBorders>
              <w:top w:val="single" w:color="auto" w:sz="6" w:space="0"/>
              <w:left w:val="single" w:color="auto" w:sz="6" w:space="0"/>
              <w:bottom w:val="outset" w:color="000000" w:sz="8" w:space="0"/>
              <w:right w:val="outset" w:color="000000" w:sz="8" w:space="0"/>
            </w:tcBorders>
            <w:tcMar>
              <w:top w:w="0" w:type="dxa"/>
              <w:left w:w="108" w:type="dxa"/>
              <w:bottom w:w="0" w:type="dxa"/>
              <w:right w:w="108" w:type="dxa"/>
            </w:tcMar>
            <w:vAlign w:val="center"/>
          </w:tcPr>
          <w:p>
            <w:pPr>
              <w:jc w:val="center"/>
              <w:rPr>
                <w:kern w:val="0"/>
                <w:sz w:val="24"/>
              </w:rPr>
            </w:pPr>
          </w:p>
        </w:tc>
      </w:tr>
      <w:tr>
        <w:tblPrEx>
          <w:tblCellMar>
            <w:top w:w="0" w:type="dxa"/>
            <w:left w:w="0" w:type="dxa"/>
            <w:bottom w:w="0" w:type="dxa"/>
            <w:right w:w="0" w:type="dxa"/>
          </w:tblCellMar>
        </w:tblPrEx>
        <w:trPr>
          <w:trHeight w:val="594" w:hRule="atLeast"/>
          <w:jc w:val="center"/>
        </w:trPr>
        <w:tc>
          <w:tcPr>
            <w:tcW w:w="8214" w:type="dxa"/>
            <w:gridSpan w:val="2"/>
            <w:tcBorders>
              <w:top w:val="single" w:color="auto" w:sz="6" w:space="0"/>
              <w:left w:val="outset" w:color="000000" w:sz="8" w:space="0"/>
              <w:bottom w:val="outset" w:color="000000" w:sz="8" w:space="0"/>
              <w:right w:val="outset" w:color="000000" w:sz="8" w:space="0"/>
            </w:tcBorders>
            <w:tcMar>
              <w:top w:w="0" w:type="dxa"/>
              <w:left w:w="108" w:type="dxa"/>
              <w:bottom w:w="0" w:type="dxa"/>
              <w:right w:w="108" w:type="dxa"/>
            </w:tcMar>
            <w:vAlign w:val="center"/>
          </w:tcPr>
          <w:p>
            <w:pPr>
              <w:jc w:val="center"/>
              <w:rPr>
                <w:sz w:val="24"/>
              </w:rPr>
            </w:pPr>
            <w:r>
              <w:rPr>
                <w:rFonts w:hint="eastAsia"/>
                <w:sz w:val="24"/>
              </w:rPr>
              <w:t>论文</w:t>
            </w:r>
          </w:p>
          <w:p>
            <w:pPr>
              <w:jc w:val="center"/>
            </w:pPr>
            <w:r>
              <w:t>Dissertation (40 credits)</w:t>
            </w:r>
          </w:p>
        </w:tc>
      </w:tr>
      <w:tr>
        <w:tblPrEx>
          <w:tblCellMar>
            <w:top w:w="0" w:type="dxa"/>
            <w:left w:w="0" w:type="dxa"/>
            <w:bottom w:w="0" w:type="dxa"/>
            <w:right w:w="0" w:type="dxa"/>
          </w:tblCellMar>
        </w:tblPrEx>
        <w:trPr>
          <w:trHeight w:val="419" w:hRule="atLeast"/>
          <w:jc w:val="center"/>
        </w:trPr>
        <w:tc>
          <w:tcPr>
            <w:tcW w:w="8214" w:type="dxa"/>
            <w:gridSpan w:val="2"/>
            <w:tcBorders>
              <w:top w:val="single" w:color="auto" w:sz="6" w:space="0"/>
              <w:left w:val="outset" w:color="000000" w:sz="8" w:space="0"/>
              <w:bottom w:val="outset" w:color="000000" w:sz="8" w:space="0"/>
              <w:right w:val="outset" w:color="000000" w:sz="8" w:space="0"/>
            </w:tcBorders>
            <w:tcMar>
              <w:top w:w="0" w:type="dxa"/>
              <w:left w:w="108" w:type="dxa"/>
              <w:bottom w:w="0" w:type="dxa"/>
              <w:right w:w="108" w:type="dxa"/>
            </w:tcMar>
            <w:vAlign w:val="center"/>
          </w:tcPr>
          <w:p>
            <w:pPr>
              <w:jc w:val="center"/>
            </w:pPr>
            <w:r>
              <w:rPr>
                <w:rFonts w:hint="eastAsia"/>
              </w:rPr>
              <w:t>总学分（必修）</w:t>
            </w:r>
          </w:p>
          <w:p>
            <w:pPr>
              <w:jc w:val="center"/>
              <w:rPr>
                <w:kern w:val="0"/>
                <w:sz w:val="24"/>
              </w:rPr>
            </w:pPr>
            <w:r>
              <w:t>Total credits 180</w:t>
            </w:r>
          </w:p>
        </w:tc>
      </w:tr>
    </w:tbl>
    <w:p>
      <w:pPr>
        <w:widowControl/>
        <w:spacing w:line="330" w:lineRule="atLeast"/>
        <w:jc w:val="left"/>
        <w:rPr>
          <w:rFonts w:ascii="宋体" w:cs="宋体"/>
          <w:kern w:val="0"/>
          <w:szCs w:val="21"/>
        </w:rPr>
      </w:pPr>
      <w:r>
        <w:rPr>
          <w:b/>
          <w:bCs/>
          <w:kern w:val="0"/>
          <w:szCs w:val="21"/>
        </w:rPr>
        <w:t>♣</w:t>
      </w:r>
      <w:r>
        <w:rPr>
          <w:rFonts w:ascii="宋体" w:cs="宋体"/>
          <w:b/>
          <w:bCs/>
          <w:kern w:val="0"/>
          <w:szCs w:val="21"/>
        </w:rPr>
        <w:t> </w:t>
      </w:r>
      <w:r>
        <w:rPr>
          <w:rFonts w:hint="eastAsia" w:ascii="宋体" w:hAnsi="宋体" w:cs="宋体"/>
          <w:b/>
          <w:bCs/>
          <w:kern w:val="0"/>
          <w:szCs w:val="21"/>
        </w:rPr>
        <w:t>学制及学位授予</w:t>
      </w:r>
    </w:p>
    <w:p>
      <w:pPr>
        <w:widowControl/>
        <w:spacing w:line="330" w:lineRule="atLeast"/>
        <w:ind w:firstLine="420" w:firstLineChars="200"/>
        <w:jc w:val="left"/>
        <w:rPr>
          <w:rFonts w:ascii="宋体" w:cs="宋体"/>
          <w:kern w:val="0"/>
          <w:szCs w:val="21"/>
        </w:rPr>
      </w:pPr>
      <w:r>
        <w:rPr>
          <w:rFonts w:hint="eastAsia" w:ascii="宋体" w:hAnsi="宋体" w:cs="宋体"/>
          <w:kern w:val="0"/>
          <w:szCs w:val="21"/>
        </w:rPr>
        <w:t>学制为</w:t>
      </w:r>
      <w:r>
        <w:rPr>
          <w:rFonts w:ascii="宋体" w:hAnsi="宋体" w:cs="宋体"/>
          <w:kern w:val="0"/>
          <w:szCs w:val="21"/>
        </w:rPr>
        <w:t>12</w:t>
      </w:r>
      <w:r>
        <w:rPr>
          <w:rFonts w:hint="eastAsia" w:ascii="宋体" w:hAnsi="宋体" w:cs="宋体"/>
          <w:kern w:val="0"/>
          <w:szCs w:val="21"/>
        </w:rPr>
        <w:t>个月</w:t>
      </w:r>
      <w:r>
        <w:rPr>
          <w:rFonts w:hint="eastAsia" w:ascii="宋体" w:hAnsi="宋体" w:cs="宋体"/>
          <w:b w:val="0"/>
          <w:bCs w:val="0"/>
          <w:kern w:val="0"/>
          <w:szCs w:val="21"/>
        </w:rPr>
        <w:t>全日制</w:t>
      </w:r>
      <w:r>
        <w:rPr>
          <w:rFonts w:hint="eastAsia" w:ascii="宋体" w:hAnsi="宋体" w:cs="宋体"/>
          <w:kern w:val="0"/>
          <w:szCs w:val="21"/>
        </w:rPr>
        <w:t>授课。完成所有</w:t>
      </w:r>
      <w:r>
        <w:rPr>
          <w:rFonts w:ascii="宋体" w:hAnsi="宋体" w:cs="宋体"/>
          <w:kern w:val="0"/>
          <w:szCs w:val="21"/>
        </w:rPr>
        <w:t>7</w:t>
      </w:r>
      <w:r>
        <w:rPr>
          <w:rFonts w:hint="eastAsia" w:ascii="宋体" w:hAnsi="宋体" w:cs="宋体"/>
          <w:kern w:val="0"/>
          <w:szCs w:val="21"/>
        </w:rPr>
        <w:t>个教学模块的学习并考试合格，最后完成论文的学员将被授予国务院学位委员会和教育部认可的英国利兹贝克特大学国际贸易与金融硕士学位（</w:t>
      </w:r>
      <w:r>
        <w:rPr>
          <w:rFonts w:ascii="宋体" w:hAnsi="宋体" w:cs="宋体"/>
          <w:b/>
          <w:bCs/>
          <w:kern w:val="0"/>
          <w:szCs w:val="21"/>
        </w:rPr>
        <w:t>M</w:t>
      </w:r>
      <w:r>
        <w:rPr>
          <w:rFonts w:hint="eastAsia" w:ascii="宋体" w:hAnsi="宋体" w:cs="宋体"/>
          <w:b/>
          <w:bCs/>
          <w:kern w:val="0"/>
          <w:szCs w:val="21"/>
        </w:rPr>
        <w:t xml:space="preserve">Sc </w:t>
      </w:r>
      <w:r>
        <w:rPr>
          <w:rFonts w:ascii="宋体" w:hAnsi="宋体" w:cs="宋体"/>
          <w:b/>
          <w:bCs/>
          <w:kern w:val="0"/>
          <w:szCs w:val="21"/>
        </w:rPr>
        <w:t>International Trade and Finance</w:t>
      </w:r>
      <w:r>
        <w:rPr>
          <w:rFonts w:hint="eastAsia" w:ascii="宋体" w:hAnsi="宋体" w:cs="宋体"/>
          <w:kern w:val="0"/>
          <w:szCs w:val="21"/>
        </w:rPr>
        <w:t>）。</w:t>
      </w:r>
    </w:p>
    <w:p>
      <w:pPr>
        <w:widowControl/>
        <w:spacing w:line="330" w:lineRule="atLeast"/>
        <w:jc w:val="left"/>
        <w:rPr>
          <w:rFonts w:ascii="宋体" w:cs="宋体"/>
          <w:b/>
          <w:bCs/>
          <w:kern w:val="0"/>
          <w:szCs w:val="21"/>
        </w:rPr>
      </w:pPr>
    </w:p>
    <w:p>
      <w:pPr>
        <w:widowControl/>
        <w:spacing w:line="330" w:lineRule="atLeast"/>
        <w:jc w:val="left"/>
        <w:rPr>
          <w:rFonts w:ascii="宋体" w:cs="宋体"/>
          <w:kern w:val="0"/>
          <w:szCs w:val="21"/>
        </w:rPr>
      </w:pPr>
      <w:r>
        <w:rPr>
          <w:b/>
          <w:bCs/>
          <w:kern w:val="0"/>
          <w:szCs w:val="21"/>
        </w:rPr>
        <w:t>♣</w:t>
      </w:r>
      <w:r>
        <w:rPr>
          <w:rFonts w:ascii="宋体" w:cs="宋体"/>
          <w:b/>
          <w:bCs/>
          <w:kern w:val="0"/>
          <w:szCs w:val="21"/>
        </w:rPr>
        <w:t> </w:t>
      </w:r>
      <w:r>
        <w:rPr>
          <w:rFonts w:hint="eastAsia" w:ascii="宋体" w:hAnsi="宋体" w:cs="宋体"/>
          <w:b/>
          <w:bCs/>
          <w:kern w:val="0"/>
          <w:szCs w:val="21"/>
        </w:rPr>
        <w:t>合作双方实力雄厚、师资力量强大</w:t>
      </w:r>
    </w:p>
    <w:p>
      <w:pPr>
        <w:widowControl/>
        <w:spacing w:line="330" w:lineRule="atLeast"/>
        <w:ind w:firstLine="420" w:firstLineChars="200"/>
        <w:jc w:val="left"/>
        <w:rPr>
          <w:rFonts w:ascii="宋体" w:cs="宋体"/>
          <w:kern w:val="0"/>
          <w:szCs w:val="21"/>
        </w:rPr>
      </w:pPr>
      <w:r>
        <w:rPr>
          <w:rFonts w:hint="eastAsia" w:ascii="宋体" w:hAnsi="宋体" w:cs="宋体"/>
          <w:kern w:val="0"/>
          <w:szCs w:val="21"/>
        </w:rPr>
        <w:t>本项目在</w:t>
      </w:r>
      <w:r>
        <w:rPr>
          <w:rFonts w:ascii="宋体" w:hAnsi="宋体" w:cs="宋体"/>
          <w:kern w:val="0"/>
          <w:szCs w:val="21"/>
        </w:rPr>
        <w:t>2006</w:t>
      </w:r>
      <w:r>
        <w:rPr>
          <w:rFonts w:hint="eastAsia" w:ascii="宋体" w:hAnsi="宋体" w:cs="宋体"/>
          <w:kern w:val="0"/>
          <w:szCs w:val="21"/>
        </w:rPr>
        <w:t>年英国</w:t>
      </w:r>
      <w:r>
        <w:rPr>
          <w:rFonts w:ascii="宋体" w:hAnsi="宋体" w:cs="宋体"/>
          <w:kern w:val="0"/>
          <w:szCs w:val="21"/>
        </w:rPr>
        <w:t>QAA</w:t>
      </w:r>
      <w:r>
        <w:rPr>
          <w:rFonts w:hint="eastAsia" w:ascii="宋体" w:hAnsi="宋体" w:cs="宋体"/>
          <w:kern w:val="0"/>
          <w:szCs w:val="21"/>
        </w:rPr>
        <w:t>（</w:t>
      </w:r>
      <w:r>
        <w:rPr>
          <w:rFonts w:ascii="宋体" w:hAnsi="宋体" w:cs="宋体"/>
          <w:kern w:val="0"/>
          <w:szCs w:val="21"/>
        </w:rPr>
        <w:t>Quality Assurance Agency for Higher Education</w:t>
      </w:r>
      <w:r>
        <w:rPr>
          <w:rFonts w:hint="eastAsia" w:ascii="宋体" w:hAnsi="宋体" w:cs="宋体"/>
          <w:kern w:val="0"/>
          <w:szCs w:val="21"/>
        </w:rPr>
        <w:t>）高等教育质量评估委员会的实地考察中获得</w:t>
      </w:r>
      <w:r>
        <w:rPr>
          <w:rFonts w:hint="eastAsia" w:ascii="宋体" w:cs="宋体"/>
          <w:kern w:val="0"/>
          <w:szCs w:val="21"/>
        </w:rPr>
        <w:t>“</w:t>
      </w:r>
      <w:r>
        <w:rPr>
          <w:rFonts w:hint="eastAsia" w:ascii="宋体" w:hAnsi="宋体" w:cs="宋体"/>
          <w:kern w:val="0"/>
          <w:szCs w:val="21"/>
        </w:rPr>
        <w:t>优秀</w:t>
      </w:r>
      <w:r>
        <w:rPr>
          <w:rFonts w:hint="eastAsia" w:ascii="宋体" w:cs="宋体"/>
          <w:kern w:val="0"/>
          <w:szCs w:val="21"/>
        </w:rPr>
        <w:t>”</w:t>
      </w:r>
      <w:r>
        <w:rPr>
          <w:rFonts w:hint="eastAsia" w:ascii="宋体" w:hAnsi="宋体" w:cs="宋体"/>
          <w:kern w:val="0"/>
          <w:szCs w:val="21"/>
        </w:rPr>
        <w:t>评分，并于</w:t>
      </w:r>
      <w:r>
        <w:rPr>
          <w:rFonts w:ascii="宋体" w:hAnsi="宋体" w:cs="宋体"/>
          <w:kern w:val="0"/>
          <w:szCs w:val="21"/>
        </w:rPr>
        <w:t>2013</w:t>
      </w:r>
      <w:r>
        <w:rPr>
          <w:rFonts w:hint="eastAsia" w:ascii="宋体" w:hAnsi="宋体" w:cs="宋体"/>
          <w:kern w:val="0"/>
          <w:szCs w:val="21"/>
        </w:rPr>
        <w:t>再次通过中国教育部组织的中外合作办学项目（机构）评估。</w:t>
      </w:r>
      <w:r>
        <w:rPr>
          <w:rStyle w:val="13"/>
          <w:rFonts w:hint="eastAsia" w:ascii="宋体" w:hAnsi="宋体"/>
          <w:b/>
          <w:bCs/>
          <w:szCs w:val="21"/>
        </w:rPr>
        <w:t>利兹贝克特大学</w:t>
      </w:r>
      <w:r>
        <w:rPr>
          <w:rStyle w:val="13"/>
          <w:rFonts w:ascii="宋体" w:hAnsi="宋体"/>
          <w:szCs w:val="21"/>
        </w:rPr>
        <w:t>(Leeds Beckett University</w:t>
      </w:r>
      <w:r>
        <w:rPr>
          <w:rStyle w:val="13"/>
          <w:rFonts w:hint="eastAsia" w:ascii="宋体" w:hAnsi="宋体"/>
          <w:szCs w:val="21"/>
        </w:rPr>
        <w:t>，</w:t>
      </w:r>
      <w:r>
        <w:rPr>
          <w:rStyle w:val="13"/>
          <w:rFonts w:ascii="宋体" w:hAnsi="宋体"/>
          <w:szCs w:val="21"/>
        </w:rPr>
        <w:t xml:space="preserve"> LBU)</w:t>
      </w:r>
      <w:r>
        <w:rPr>
          <w:rStyle w:val="13"/>
          <w:rFonts w:hint="eastAsia" w:ascii="宋体" w:hAnsi="宋体"/>
          <w:szCs w:val="21"/>
        </w:rPr>
        <w:t>始建于</w:t>
      </w:r>
      <w:r>
        <w:rPr>
          <w:rStyle w:val="13"/>
          <w:rFonts w:ascii="宋体" w:hAnsi="宋体"/>
          <w:szCs w:val="21"/>
        </w:rPr>
        <w:t>1824</w:t>
      </w:r>
      <w:r>
        <w:rPr>
          <w:rStyle w:val="13"/>
          <w:rFonts w:hint="eastAsia" w:ascii="宋体" w:hAnsi="宋体"/>
          <w:szCs w:val="21"/>
        </w:rPr>
        <w:t>年，是英国规模较大的新型大学和最受欢迎的高等院校之一，有着近200多年的历史。</w:t>
      </w:r>
      <w:r>
        <w:rPr>
          <w:rFonts w:hint="eastAsia" w:ascii="宋体" w:hAnsi="宋体" w:cs="宋体"/>
          <w:b/>
          <w:kern w:val="0"/>
          <w:szCs w:val="21"/>
        </w:rPr>
        <w:t>利兹商学院</w:t>
      </w:r>
      <w:r>
        <w:rPr>
          <w:rFonts w:hint="eastAsia" w:ascii="宋体" w:hAnsi="宋体" w:cs="宋体"/>
          <w:kern w:val="0"/>
          <w:szCs w:val="21"/>
        </w:rPr>
        <w:t>(Leeds Business School)在教学和研究方面有着良好的记录，在全球大学排名中位列前4%。这是一所充满雄心壮志的现代化专业大学, 位于经济活跃的利兹市，利兹市是伦敦以外最大的金融区。该校的目标是帮助培养优秀的毕业生、高素质的员工、有责任的公民和有进取心的领导者。许多资深教师都拥有博士学位，在金融、会计、工商管理、人力资源管理、市场营销、经济、国际贸易等专业领域均有涉猎，特别是在国际金融、工商管理、区域经济发展等领域有着20年的教学和研究经验。</w:t>
      </w:r>
      <w:r>
        <w:rPr>
          <w:rFonts w:hint="eastAsia" w:ascii="宋体" w:hAnsi="宋体" w:cs="宋体"/>
          <w:b/>
          <w:bCs/>
          <w:kern w:val="0"/>
          <w:szCs w:val="21"/>
        </w:rPr>
        <w:t>浙江工业大学</w:t>
      </w:r>
      <w:r>
        <w:rPr>
          <w:rFonts w:hint="eastAsia" w:ascii="宋体" w:hAnsi="宋体" w:cs="宋体"/>
          <w:kern w:val="0"/>
          <w:szCs w:val="21"/>
        </w:rPr>
        <w:t>建于</w:t>
      </w:r>
      <w:r>
        <w:rPr>
          <w:rFonts w:ascii="宋体" w:hAnsi="宋体" w:cs="宋体"/>
          <w:kern w:val="0"/>
          <w:szCs w:val="21"/>
        </w:rPr>
        <w:t>1953</w:t>
      </w:r>
      <w:r>
        <w:rPr>
          <w:rFonts w:hint="eastAsia" w:ascii="宋体" w:hAnsi="宋体" w:cs="宋体"/>
          <w:kern w:val="0"/>
          <w:szCs w:val="21"/>
        </w:rPr>
        <w:t>年，近年来在全国高校排名位次不断上升，已进入前七十强行列。是东部沿海地区首所教育部与省政府共建高校。</w:t>
      </w:r>
    </w:p>
    <w:p>
      <w:pPr>
        <w:widowControl/>
        <w:spacing w:line="330" w:lineRule="atLeast"/>
        <w:jc w:val="left"/>
        <w:rPr>
          <w:rFonts w:ascii="宋体" w:cs="宋体"/>
          <w:kern w:val="0"/>
          <w:szCs w:val="21"/>
        </w:rPr>
      </w:pPr>
    </w:p>
    <w:p>
      <w:pPr>
        <w:widowControl/>
        <w:spacing w:line="330" w:lineRule="atLeast"/>
        <w:jc w:val="left"/>
        <w:rPr>
          <w:rFonts w:ascii="宋体" w:cs="宋体"/>
          <w:kern w:val="0"/>
          <w:szCs w:val="21"/>
        </w:rPr>
      </w:pPr>
      <w:r>
        <w:rPr>
          <w:b/>
          <w:bCs/>
          <w:kern w:val="0"/>
          <w:szCs w:val="21"/>
        </w:rPr>
        <w:t>♣</w:t>
      </w:r>
      <w:r>
        <w:rPr>
          <w:rFonts w:ascii="宋体" w:cs="宋体"/>
          <w:b/>
          <w:bCs/>
          <w:kern w:val="0"/>
          <w:szCs w:val="21"/>
        </w:rPr>
        <w:t> </w:t>
      </w:r>
      <w:r>
        <w:rPr>
          <w:rFonts w:hint="eastAsia" w:ascii="宋体" w:hAnsi="宋体" w:cs="宋体"/>
          <w:b/>
          <w:bCs/>
          <w:kern w:val="0"/>
          <w:szCs w:val="21"/>
        </w:rPr>
        <w:t>收费标准</w:t>
      </w:r>
    </w:p>
    <w:p>
      <w:pPr>
        <w:widowControl/>
        <w:spacing w:line="330" w:lineRule="atLeast"/>
        <w:jc w:val="left"/>
        <w:rPr>
          <w:rFonts w:ascii="宋体" w:hAnsi="宋体" w:cs="宋体"/>
          <w:kern w:val="0"/>
          <w:szCs w:val="21"/>
        </w:rPr>
      </w:pPr>
      <w:r>
        <w:rPr>
          <w:rFonts w:hint="eastAsia" w:ascii="宋体" w:hAnsi="宋体" w:cs="宋体"/>
          <w:kern w:val="0"/>
          <w:szCs w:val="21"/>
        </w:rPr>
        <w:t>学费：</w:t>
      </w:r>
      <w:r>
        <w:rPr>
          <w:rFonts w:ascii="宋体" w:hAnsi="宋体" w:cs="宋体"/>
          <w:kern w:val="0"/>
          <w:szCs w:val="21"/>
        </w:rPr>
        <w:t xml:space="preserve"> </w:t>
      </w:r>
      <w:r>
        <w:rPr>
          <w:rFonts w:hint="eastAsia" w:ascii="宋体" w:hAnsi="宋体" w:cs="宋体"/>
          <w:kern w:val="0"/>
          <w:szCs w:val="21"/>
        </w:rPr>
        <w:t>9</w:t>
      </w:r>
      <w:r>
        <w:rPr>
          <w:rFonts w:ascii="宋体" w:hAnsi="宋体" w:cs="宋体"/>
          <w:kern w:val="0"/>
          <w:szCs w:val="21"/>
        </w:rPr>
        <w:t>6000</w:t>
      </w:r>
      <w:r>
        <w:rPr>
          <w:rFonts w:hint="eastAsia" w:ascii="宋体" w:hAnsi="宋体" w:cs="宋体"/>
          <w:kern w:val="0"/>
          <w:szCs w:val="21"/>
        </w:rPr>
        <w:t>元人民币（拟，</w:t>
      </w:r>
      <w:r>
        <w:rPr>
          <w:rFonts w:ascii="宋体" w:hAnsi="宋体" w:cs="宋体"/>
          <w:kern w:val="0"/>
          <w:szCs w:val="21"/>
        </w:rPr>
        <w:t>具体</w:t>
      </w:r>
      <w:r>
        <w:rPr>
          <w:rFonts w:hint="eastAsia" w:ascii="宋体" w:hAnsi="宋体" w:cs="宋体"/>
          <w:kern w:val="0"/>
          <w:szCs w:val="21"/>
        </w:rPr>
        <w:t>以浙江省物价局批示为准）。</w:t>
      </w:r>
    </w:p>
    <w:p>
      <w:pPr>
        <w:widowControl/>
        <w:spacing w:line="330" w:lineRule="atLeast"/>
        <w:jc w:val="left"/>
        <w:rPr>
          <w:rFonts w:ascii="宋体" w:cs="宋体"/>
          <w:kern w:val="0"/>
          <w:szCs w:val="21"/>
        </w:rPr>
      </w:pPr>
    </w:p>
    <w:p>
      <w:pPr>
        <w:widowControl/>
        <w:spacing w:line="330" w:lineRule="atLeast"/>
        <w:jc w:val="left"/>
        <w:rPr>
          <w:rFonts w:ascii="宋体" w:cs="宋体"/>
          <w:kern w:val="0"/>
          <w:szCs w:val="21"/>
        </w:rPr>
      </w:pPr>
      <w:r>
        <w:rPr>
          <w:b/>
          <w:bCs/>
          <w:kern w:val="0"/>
          <w:szCs w:val="21"/>
        </w:rPr>
        <w:t>♣</w:t>
      </w:r>
      <w:r>
        <w:rPr>
          <w:rFonts w:ascii="宋体" w:cs="宋体"/>
          <w:b/>
          <w:bCs/>
          <w:kern w:val="0"/>
          <w:szCs w:val="21"/>
        </w:rPr>
        <w:t> </w:t>
      </w:r>
      <w:r>
        <w:rPr>
          <w:rFonts w:hint="eastAsia" w:ascii="宋体" w:cs="宋体"/>
          <w:b/>
          <w:bCs/>
          <w:kern w:val="0"/>
          <w:szCs w:val="21"/>
          <w:lang w:val="en-US" w:eastAsia="zh-CN"/>
        </w:rPr>
        <w:t>上课</w:t>
      </w:r>
      <w:r>
        <w:rPr>
          <w:rFonts w:hint="eastAsia" w:ascii="宋体" w:hAnsi="宋体" w:cs="宋体"/>
          <w:b/>
          <w:bCs/>
          <w:kern w:val="0"/>
          <w:szCs w:val="21"/>
        </w:rPr>
        <w:t>地点</w:t>
      </w:r>
    </w:p>
    <w:p>
      <w:pPr>
        <w:widowControl/>
        <w:spacing w:line="330" w:lineRule="atLeast"/>
        <w:jc w:val="left"/>
        <w:rPr>
          <w:rFonts w:ascii="宋体" w:cs="宋体"/>
          <w:kern w:val="0"/>
          <w:szCs w:val="21"/>
        </w:rPr>
      </w:pPr>
      <w:bookmarkStart w:id="0" w:name="_GoBack"/>
      <w:r>
        <w:rPr>
          <w:rFonts w:hint="eastAsia" w:ascii="宋体" w:hAnsi="宋体" w:cs="宋体"/>
          <w:kern w:val="0"/>
          <w:szCs w:val="21"/>
        </w:rPr>
        <w:t>浙江</w:t>
      </w:r>
      <w:bookmarkEnd w:id="0"/>
      <w:r>
        <w:rPr>
          <w:rFonts w:hint="eastAsia" w:ascii="宋体" w:hAnsi="宋体" w:cs="宋体"/>
          <w:kern w:val="0"/>
          <w:szCs w:val="21"/>
        </w:rPr>
        <w:t>工业大学</w:t>
      </w:r>
      <w:r>
        <w:rPr>
          <w:rFonts w:ascii="宋体" w:cs="宋体"/>
          <w:kern w:val="0"/>
          <w:szCs w:val="21"/>
        </w:rPr>
        <w:t>   </w:t>
      </w:r>
    </w:p>
    <w:p>
      <w:pPr>
        <w:widowControl/>
        <w:spacing w:line="330" w:lineRule="atLeast"/>
        <w:jc w:val="left"/>
        <w:rPr>
          <w:rFonts w:ascii="宋体" w:cs="宋体"/>
          <w:kern w:val="0"/>
          <w:szCs w:val="21"/>
        </w:rPr>
      </w:pPr>
    </w:p>
    <w:p>
      <w:pPr>
        <w:widowControl/>
        <w:spacing w:line="330" w:lineRule="atLeast"/>
        <w:jc w:val="left"/>
        <w:rPr>
          <w:rFonts w:ascii="宋体" w:hAnsi="宋体" w:cs="宋体"/>
          <w:kern w:val="0"/>
          <w:szCs w:val="21"/>
        </w:rPr>
      </w:pPr>
      <w:r>
        <w:rPr>
          <w:rFonts w:hint="eastAsia" w:ascii="宋体" w:hAnsi="宋体" w:cs="宋体"/>
          <w:kern w:val="0"/>
          <w:szCs w:val="21"/>
        </w:rPr>
        <w:t>教育部留学中心认证网址：</w:t>
      </w:r>
    </w:p>
    <w:p>
      <w:pPr>
        <w:widowControl/>
        <w:spacing w:line="330" w:lineRule="atLeast"/>
        <w:jc w:val="left"/>
      </w:pPr>
      <w:r>
        <w:fldChar w:fldCharType="begin"/>
      </w:r>
      <w:r>
        <w:instrText xml:space="preserve"> HYPERLINK "http://www.crs.jsj.edu.cn/index.php/default/approval/detail/60" </w:instrText>
      </w:r>
      <w:r>
        <w:fldChar w:fldCharType="separate"/>
      </w:r>
      <w:r>
        <w:rPr>
          <w:rStyle w:val="8"/>
        </w:rPr>
        <w:t>http://www.crs.jsj.edu.cn/index.php/default/approval/detail/60</w:t>
      </w:r>
      <w:r>
        <w:fldChar w:fldCharType="end"/>
      </w:r>
    </w:p>
    <w:p>
      <w:pPr>
        <w:widowControl/>
        <w:spacing w:line="330" w:lineRule="atLeast"/>
        <w:jc w:val="left"/>
      </w:pPr>
    </w:p>
    <w:p>
      <w:pPr>
        <w:widowControl/>
        <w:spacing w:line="330" w:lineRule="atLeast"/>
        <w:jc w:val="left"/>
        <w:rPr>
          <w:rFonts w:hint="default" w:eastAsia="宋体"/>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Arial">
    <w:altName w:val="Times New Roman"/>
    <w:panose1 w:val="00000000000000000000"/>
    <w:charset w:val="00"/>
    <w:family w:val="auto"/>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F52E12"/>
    <w:multiLevelType w:val="multilevel"/>
    <w:tmpl w:val="05F52E12"/>
    <w:lvl w:ilvl="0" w:tentative="0">
      <w:start w:val="0"/>
      <w:numFmt w:val="bullet"/>
      <w:lvlText w:val="★"/>
      <w:lvlJc w:val="left"/>
      <w:pPr>
        <w:tabs>
          <w:tab w:val="left" w:pos="360"/>
        </w:tabs>
        <w:ind w:left="360" w:hanging="360"/>
      </w:pPr>
      <w:rPr>
        <w:rFonts w:hint="eastAsia" w:ascii="宋体" w:hAnsi="宋体" w:eastAsia="宋体"/>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FE2"/>
    <w:rsid w:val="00002C76"/>
    <w:rsid w:val="0003088F"/>
    <w:rsid w:val="00037DDD"/>
    <w:rsid w:val="0004348F"/>
    <w:rsid w:val="000469E0"/>
    <w:rsid w:val="00061F9A"/>
    <w:rsid w:val="0008070E"/>
    <w:rsid w:val="0008100E"/>
    <w:rsid w:val="00094C76"/>
    <w:rsid w:val="000A2A7B"/>
    <w:rsid w:val="000B41D8"/>
    <w:rsid w:val="000C2D95"/>
    <w:rsid w:val="000C782E"/>
    <w:rsid w:val="000D6337"/>
    <w:rsid w:val="00111927"/>
    <w:rsid w:val="00131E04"/>
    <w:rsid w:val="00133A19"/>
    <w:rsid w:val="00134B3D"/>
    <w:rsid w:val="00144AD1"/>
    <w:rsid w:val="001544E6"/>
    <w:rsid w:val="00171EE3"/>
    <w:rsid w:val="0017316D"/>
    <w:rsid w:val="00197068"/>
    <w:rsid w:val="001A133F"/>
    <w:rsid w:val="001A3E21"/>
    <w:rsid w:val="001A6EE9"/>
    <w:rsid w:val="001C15B8"/>
    <w:rsid w:val="001E0172"/>
    <w:rsid w:val="001F1DBA"/>
    <w:rsid w:val="00206B3E"/>
    <w:rsid w:val="00241561"/>
    <w:rsid w:val="00270C37"/>
    <w:rsid w:val="002A3EC1"/>
    <w:rsid w:val="002A7C97"/>
    <w:rsid w:val="002D012D"/>
    <w:rsid w:val="002D229F"/>
    <w:rsid w:val="002D4A7C"/>
    <w:rsid w:val="002D5AD9"/>
    <w:rsid w:val="002E2AD4"/>
    <w:rsid w:val="00300268"/>
    <w:rsid w:val="00307364"/>
    <w:rsid w:val="00327F72"/>
    <w:rsid w:val="003449A0"/>
    <w:rsid w:val="00345768"/>
    <w:rsid w:val="0035060D"/>
    <w:rsid w:val="0035767C"/>
    <w:rsid w:val="00391C42"/>
    <w:rsid w:val="003A05F3"/>
    <w:rsid w:val="003B1214"/>
    <w:rsid w:val="003B7B6D"/>
    <w:rsid w:val="003D3034"/>
    <w:rsid w:val="003E4F11"/>
    <w:rsid w:val="003E62A0"/>
    <w:rsid w:val="003E788C"/>
    <w:rsid w:val="003F03CF"/>
    <w:rsid w:val="003F4F6E"/>
    <w:rsid w:val="00401E86"/>
    <w:rsid w:val="00404C0D"/>
    <w:rsid w:val="004123AC"/>
    <w:rsid w:val="00422BAA"/>
    <w:rsid w:val="00452C79"/>
    <w:rsid w:val="00462417"/>
    <w:rsid w:val="00463F47"/>
    <w:rsid w:val="00466D7B"/>
    <w:rsid w:val="0048513D"/>
    <w:rsid w:val="004A5A29"/>
    <w:rsid w:val="004C1D48"/>
    <w:rsid w:val="004D11D5"/>
    <w:rsid w:val="004D3DF8"/>
    <w:rsid w:val="004D40E9"/>
    <w:rsid w:val="004E2BE4"/>
    <w:rsid w:val="004E7FEA"/>
    <w:rsid w:val="004F5AA6"/>
    <w:rsid w:val="00515DC8"/>
    <w:rsid w:val="00517E7C"/>
    <w:rsid w:val="0052424E"/>
    <w:rsid w:val="00526D29"/>
    <w:rsid w:val="00541912"/>
    <w:rsid w:val="00541B94"/>
    <w:rsid w:val="005457CF"/>
    <w:rsid w:val="00573D6C"/>
    <w:rsid w:val="00574066"/>
    <w:rsid w:val="00574A5C"/>
    <w:rsid w:val="005755C9"/>
    <w:rsid w:val="005876E4"/>
    <w:rsid w:val="005A7355"/>
    <w:rsid w:val="005B2431"/>
    <w:rsid w:val="005C62E1"/>
    <w:rsid w:val="005D1137"/>
    <w:rsid w:val="005E3082"/>
    <w:rsid w:val="00603788"/>
    <w:rsid w:val="006053DC"/>
    <w:rsid w:val="00606A57"/>
    <w:rsid w:val="00607304"/>
    <w:rsid w:val="006107E2"/>
    <w:rsid w:val="00613154"/>
    <w:rsid w:val="006253B3"/>
    <w:rsid w:val="006336B8"/>
    <w:rsid w:val="00646F93"/>
    <w:rsid w:val="00655E50"/>
    <w:rsid w:val="00657027"/>
    <w:rsid w:val="00661934"/>
    <w:rsid w:val="00665601"/>
    <w:rsid w:val="0066721A"/>
    <w:rsid w:val="0069770C"/>
    <w:rsid w:val="006C5004"/>
    <w:rsid w:val="006D12BC"/>
    <w:rsid w:val="006F2323"/>
    <w:rsid w:val="006F56ED"/>
    <w:rsid w:val="00713F45"/>
    <w:rsid w:val="007324DD"/>
    <w:rsid w:val="00746768"/>
    <w:rsid w:val="00756F67"/>
    <w:rsid w:val="00762B84"/>
    <w:rsid w:val="007965D9"/>
    <w:rsid w:val="007B7B0A"/>
    <w:rsid w:val="007C2468"/>
    <w:rsid w:val="007D7150"/>
    <w:rsid w:val="00805DC3"/>
    <w:rsid w:val="00814625"/>
    <w:rsid w:val="00816141"/>
    <w:rsid w:val="00821546"/>
    <w:rsid w:val="00824CFF"/>
    <w:rsid w:val="00826563"/>
    <w:rsid w:val="0083721B"/>
    <w:rsid w:val="00864642"/>
    <w:rsid w:val="00866912"/>
    <w:rsid w:val="00887D6B"/>
    <w:rsid w:val="00887E0A"/>
    <w:rsid w:val="008957F4"/>
    <w:rsid w:val="008B7E4F"/>
    <w:rsid w:val="008C536A"/>
    <w:rsid w:val="008F6611"/>
    <w:rsid w:val="00912128"/>
    <w:rsid w:val="00917610"/>
    <w:rsid w:val="00930953"/>
    <w:rsid w:val="00932095"/>
    <w:rsid w:val="0093460B"/>
    <w:rsid w:val="00936C91"/>
    <w:rsid w:val="00951913"/>
    <w:rsid w:val="00955AEB"/>
    <w:rsid w:val="0095703A"/>
    <w:rsid w:val="00966ED7"/>
    <w:rsid w:val="00967866"/>
    <w:rsid w:val="00973443"/>
    <w:rsid w:val="009847D4"/>
    <w:rsid w:val="009A2AB9"/>
    <w:rsid w:val="009B0E25"/>
    <w:rsid w:val="009E69E4"/>
    <w:rsid w:val="009E6FED"/>
    <w:rsid w:val="009F132C"/>
    <w:rsid w:val="009F1BD3"/>
    <w:rsid w:val="00A07FA5"/>
    <w:rsid w:val="00A105D0"/>
    <w:rsid w:val="00A23611"/>
    <w:rsid w:val="00A23E51"/>
    <w:rsid w:val="00A303E5"/>
    <w:rsid w:val="00A4011B"/>
    <w:rsid w:val="00A40D91"/>
    <w:rsid w:val="00A4231F"/>
    <w:rsid w:val="00A4339C"/>
    <w:rsid w:val="00A73DCC"/>
    <w:rsid w:val="00A775C4"/>
    <w:rsid w:val="00A83388"/>
    <w:rsid w:val="00A83421"/>
    <w:rsid w:val="00A84893"/>
    <w:rsid w:val="00A96278"/>
    <w:rsid w:val="00AB0F76"/>
    <w:rsid w:val="00AC044E"/>
    <w:rsid w:val="00AC29B9"/>
    <w:rsid w:val="00AC3FB5"/>
    <w:rsid w:val="00AD0D37"/>
    <w:rsid w:val="00AE2856"/>
    <w:rsid w:val="00AE30EA"/>
    <w:rsid w:val="00AE43B4"/>
    <w:rsid w:val="00AF4251"/>
    <w:rsid w:val="00AF6437"/>
    <w:rsid w:val="00AF7527"/>
    <w:rsid w:val="00B15934"/>
    <w:rsid w:val="00B2540B"/>
    <w:rsid w:val="00B36B79"/>
    <w:rsid w:val="00B510B6"/>
    <w:rsid w:val="00B63F51"/>
    <w:rsid w:val="00B673F7"/>
    <w:rsid w:val="00B73FE2"/>
    <w:rsid w:val="00B764E2"/>
    <w:rsid w:val="00B76EC1"/>
    <w:rsid w:val="00B844AA"/>
    <w:rsid w:val="00B90973"/>
    <w:rsid w:val="00B972BE"/>
    <w:rsid w:val="00BA61BE"/>
    <w:rsid w:val="00BA74FD"/>
    <w:rsid w:val="00BB24AA"/>
    <w:rsid w:val="00BE011A"/>
    <w:rsid w:val="00BE61FC"/>
    <w:rsid w:val="00BF1601"/>
    <w:rsid w:val="00C3612A"/>
    <w:rsid w:val="00C369D8"/>
    <w:rsid w:val="00C45D67"/>
    <w:rsid w:val="00C50170"/>
    <w:rsid w:val="00C5714B"/>
    <w:rsid w:val="00C57E91"/>
    <w:rsid w:val="00C64990"/>
    <w:rsid w:val="00C65A3C"/>
    <w:rsid w:val="00C753DF"/>
    <w:rsid w:val="00CF648D"/>
    <w:rsid w:val="00D17185"/>
    <w:rsid w:val="00D205AB"/>
    <w:rsid w:val="00D20702"/>
    <w:rsid w:val="00D223CF"/>
    <w:rsid w:val="00D345B5"/>
    <w:rsid w:val="00D436D4"/>
    <w:rsid w:val="00D4637E"/>
    <w:rsid w:val="00D61A3D"/>
    <w:rsid w:val="00D629E7"/>
    <w:rsid w:val="00D632DC"/>
    <w:rsid w:val="00D670D4"/>
    <w:rsid w:val="00D67E7D"/>
    <w:rsid w:val="00D9446F"/>
    <w:rsid w:val="00D97ED6"/>
    <w:rsid w:val="00DB3953"/>
    <w:rsid w:val="00DC07C2"/>
    <w:rsid w:val="00DC6C39"/>
    <w:rsid w:val="00DD2A64"/>
    <w:rsid w:val="00DF1C80"/>
    <w:rsid w:val="00DF2469"/>
    <w:rsid w:val="00E032E1"/>
    <w:rsid w:val="00E2509A"/>
    <w:rsid w:val="00E326EA"/>
    <w:rsid w:val="00E877DD"/>
    <w:rsid w:val="00E87C82"/>
    <w:rsid w:val="00E90553"/>
    <w:rsid w:val="00EA5FD7"/>
    <w:rsid w:val="00EA7CA5"/>
    <w:rsid w:val="00EB6238"/>
    <w:rsid w:val="00EC0AAA"/>
    <w:rsid w:val="00ED40E3"/>
    <w:rsid w:val="00ED55BD"/>
    <w:rsid w:val="00EE7A42"/>
    <w:rsid w:val="00EF062D"/>
    <w:rsid w:val="00EF11AC"/>
    <w:rsid w:val="00EF53BE"/>
    <w:rsid w:val="00F00983"/>
    <w:rsid w:val="00F20BE7"/>
    <w:rsid w:val="00F21132"/>
    <w:rsid w:val="00F407C9"/>
    <w:rsid w:val="00F41505"/>
    <w:rsid w:val="00F478D4"/>
    <w:rsid w:val="00F634F4"/>
    <w:rsid w:val="00F842F0"/>
    <w:rsid w:val="00F85E6C"/>
    <w:rsid w:val="00F94083"/>
    <w:rsid w:val="00F9491C"/>
    <w:rsid w:val="00FA2398"/>
    <w:rsid w:val="00FB0CBD"/>
    <w:rsid w:val="00FB3CAA"/>
    <w:rsid w:val="00FC03A7"/>
    <w:rsid w:val="00FD242D"/>
    <w:rsid w:val="01E20475"/>
    <w:rsid w:val="033311CF"/>
    <w:rsid w:val="051274D8"/>
    <w:rsid w:val="055153FA"/>
    <w:rsid w:val="063A345E"/>
    <w:rsid w:val="09E045C7"/>
    <w:rsid w:val="0B1B60D8"/>
    <w:rsid w:val="0C822F8F"/>
    <w:rsid w:val="0C870780"/>
    <w:rsid w:val="0CBC3A7F"/>
    <w:rsid w:val="0F833F36"/>
    <w:rsid w:val="164A731D"/>
    <w:rsid w:val="16EB732B"/>
    <w:rsid w:val="17DA4A76"/>
    <w:rsid w:val="19464B68"/>
    <w:rsid w:val="1D1A3EC1"/>
    <w:rsid w:val="21762DDA"/>
    <w:rsid w:val="23443CE8"/>
    <w:rsid w:val="25346A17"/>
    <w:rsid w:val="25E44D94"/>
    <w:rsid w:val="294D2633"/>
    <w:rsid w:val="2BCB17A0"/>
    <w:rsid w:val="2D67622B"/>
    <w:rsid w:val="2E6E1D4C"/>
    <w:rsid w:val="36A82229"/>
    <w:rsid w:val="3F7144FC"/>
    <w:rsid w:val="3FCA5BAA"/>
    <w:rsid w:val="42905B00"/>
    <w:rsid w:val="443D1EDD"/>
    <w:rsid w:val="462A2BD1"/>
    <w:rsid w:val="498118A6"/>
    <w:rsid w:val="551C79B1"/>
    <w:rsid w:val="55236433"/>
    <w:rsid w:val="594F2093"/>
    <w:rsid w:val="5FD9608D"/>
    <w:rsid w:val="603028D8"/>
    <w:rsid w:val="64765F9E"/>
    <w:rsid w:val="65286547"/>
    <w:rsid w:val="65931A3A"/>
    <w:rsid w:val="670D6C1F"/>
    <w:rsid w:val="6B854D0E"/>
    <w:rsid w:val="70386FB5"/>
    <w:rsid w:val="71330156"/>
    <w:rsid w:val="723F5C73"/>
    <w:rsid w:val="732E7E5B"/>
    <w:rsid w:val="77A1297C"/>
    <w:rsid w:val="77B51B64"/>
    <w:rsid w:val="77BB0AAC"/>
    <w:rsid w:val="7C7363D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10"/>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99"/>
    <w:rPr>
      <w:rFonts w:cs="Times New Roman"/>
      <w:b/>
      <w:bCs/>
    </w:rPr>
  </w:style>
  <w:style w:type="character" w:styleId="8">
    <w:name w:val="Hyperlink"/>
    <w:basedOn w:val="6"/>
    <w:qFormat/>
    <w:uiPriority w:val="99"/>
    <w:rPr>
      <w:rFonts w:cs="Times New Roman"/>
      <w:color w:val="0000FF"/>
      <w:u w:val="single"/>
    </w:rPr>
  </w:style>
  <w:style w:type="character" w:customStyle="1" w:styleId="9">
    <w:name w:val="批注框文本 Char"/>
    <w:basedOn w:val="6"/>
    <w:link w:val="2"/>
    <w:semiHidden/>
    <w:locked/>
    <w:uiPriority w:val="99"/>
    <w:rPr>
      <w:rFonts w:cs="Times New Roman"/>
      <w:sz w:val="2"/>
    </w:rPr>
  </w:style>
  <w:style w:type="character" w:customStyle="1" w:styleId="10">
    <w:name w:val="页脚 Char"/>
    <w:basedOn w:val="6"/>
    <w:link w:val="3"/>
    <w:qFormat/>
    <w:locked/>
    <w:uiPriority w:val="99"/>
    <w:rPr>
      <w:rFonts w:cs="Times New Roman"/>
      <w:kern w:val="2"/>
      <w:sz w:val="18"/>
      <w:szCs w:val="18"/>
    </w:rPr>
  </w:style>
  <w:style w:type="character" w:customStyle="1" w:styleId="11">
    <w:name w:val="页眉 Char"/>
    <w:basedOn w:val="6"/>
    <w:link w:val="4"/>
    <w:qFormat/>
    <w:locked/>
    <w:uiPriority w:val="99"/>
    <w:rPr>
      <w:rFonts w:cs="Times New Roman"/>
      <w:kern w:val="2"/>
      <w:sz w:val="18"/>
      <w:szCs w:val="18"/>
    </w:rPr>
  </w:style>
  <w:style w:type="character" w:customStyle="1" w:styleId="12">
    <w:name w:val="apple-converted-space"/>
    <w:basedOn w:val="6"/>
    <w:qFormat/>
    <w:uiPriority w:val="99"/>
    <w:rPr>
      <w:rFonts w:cs="Times New Roman"/>
    </w:rPr>
  </w:style>
  <w:style w:type="character" w:customStyle="1" w:styleId="13">
    <w:name w:val="apple-style-span"/>
    <w:basedOn w:val="6"/>
    <w:qFormat/>
    <w:uiPriority w:val="99"/>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405</Words>
  <Characters>2311</Characters>
  <Lines>19</Lines>
  <Paragraphs>5</Paragraphs>
  <TotalTime>192</TotalTime>
  <ScaleCrop>false</ScaleCrop>
  <LinksUpToDate>false</LinksUpToDate>
  <CharactersWithSpaces>2711</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2016-11-24T04:54:00Z</dcterms:created>
  <dc:creator>dell</dc:creator>
  <cp:lastModifiedBy>冰冰⊙▽⊙＊</cp:lastModifiedBy>
  <cp:lastPrinted>2017-07-14T02:21:00Z</cp:lastPrinted>
  <dcterms:modified xsi:type="dcterms:W3CDTF">2021-12-31T02:13:08Z</dcterms:modified>
  <dc:title>中英国际贸易与金融硕士招生简章</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E7CD66EB2FC34CD99D823BD51F918AED</vt:lpwstr>
  </property>
</Properties>
</file>