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86" w:lineRule="exact" w:before="0"/>
        <w:ind w:left="2417" w:right="2173" w:firstLine="0"/>
        <w:jc w:val="center"/>
        <w:rPr>
          <w:rFonts w:ascii="Microsoft YaHei UI" w:eastAsia="Microsoft YaHei UI" w:hint="eastAsia"/>
          <w:sz w:val="33"/>
        </w:rPr>
      </w:pPr>
      <w:r>
        <w:rPr>
          <w:rFonts w:ascii="Microsoft YaHei UI" w:eastAsia="Microsoft YaHei UI" w:hint="eastAsia"/>
          <w:color w:val="333333"/>
          <w:sz w:val="33"/>
        </w:rPr>
        <w:t>澳门科技大学 EMBA 招生简章</w:t>
      </w:r>
    </w:p>
    <w:p>
      <w:pPr>
        <w:pStyle w:val="BodyText"/>
        <w:rPr>
          <w:rFonts w:ascii="Microsoft YaHei UI"/>
          <w:sz w:val="20"/>
        </w:rPr>
      </w:pPr>
    </w:p>
    <w:p>
      <w:pPr>
        <w:pStyle w:val="BodyText"/>
        <w:rPr>
          <w:rFonts w:ascii="Microsoft YaHei UI"/>
          <w:sz w:val="20"/>
        </w:rPr>
      </w:pPr>
    </w:p>
    <w:p>
      <w:pPr>
        <w:pStyle w:val="BodyText"/>
        <w:spacing w:before="4"/>
        <w:rPr>
          <w:rFonts w:ascii="Microsoft YaHei UI"/>
          <w:sz w:val="11"/>
        </w:rPr>
      </w:pPr>
    </w:p>
    <w:p>
      <w:pPr>
        <w:pStyle w:val="Heading1"/>
        <w:spacing w:before="39"/>
      </w:pPr>
      <w:r>
        <w:rPr/>
        <w:t>学校简介</w:t>
      </w:r>
    </w:p>
    <w:p>
      <w:pPr>
        <w:pStyle w:val="BodyText"/>
        <w:spacing w:line="333" w:lineRule="auto" w:before="248"/>
        <w:ind w:left="358" w:right="165"/>
      </w:pPr>
      <w:r>
        <w:rPr/>
        <w:t>澳门科技大学建校于 2000 年， 年轻而有活力、具创新思维、敢于探索·大学拥有博士、硕士、学士三级学位授予权， 设有十个学院及十数个科研院所。</w:t>
      </w:r>
    </w:p>
    <w:p>
      <w:pPr>
        <w:pStyle w:val="BodyText"/>
        <w:spacing w:before="10"/>
        <w:rPr>
          <w:sz w:val="31"/>
        </w:rPr>
      </w:pPr>
    </w:p>
    <w:p>
      <w:pPr>
        <w:pStyle w:val="BodyText"/>
        <w:spacing w:line="333" w:lineRule="auto" w:before="1"/>
        <w:ind w:left="358" w:right="318"/>
        <w:jc w:val="both"/>
      </w:pPr>
      <w:r>
        <w:rPr/>
        <w:t>在校学生超过 12000 人， 其中在校研究生 3800 多人。于短短的 20 年间， 已发展成澳门规模最大的综合型大学。大学完备的教学设施及健身康体场所， 全力为学生提供最优质的学习环境。</w:t>
      </w:r>
    </w:p>
    <w:p>
      <w:pPr>
        <w:pStyle w:val="BodyText"/>
        <w:spacing w:before="3"/>
        <w:rPr>
          <w:sz w:val="28"/>
        </w:rPr>
      </w:pPr>
    </w:p>
    <w:p>
      <w:pPr>
        <w:pStyle w:val="Heading1"/>
        <w:spacing w:before="1"/>
      </w:pPr>
      <w:r>
        <w:rPr/>
        <w:t>科研成果</w:t>
      </w:r>
    </w:p>
    <w:p>
      <w:pPr>
        <w:pStyle w:val="BodyText"/>
        <w:spacing w:line="333" w:lineRule="auto" w:before="247"/>
        <w:ind w:left="358" w:right="165"/>
      </w:pPr>
      <w:r>
        <w:rPr/>
        <w:t>大学拥有两个国家唯一重点实验室： 中药质量研究国家重点实验室、月球与行星科学国家重点实验室。</w:t>
      </w:r>
    </w:p>
    <w:p>
      <w:pPr>
        <w:pStyle w:val="BodyText"/>
        <w:spacing w:before="11"/>
        <w:rPr>
          <w:sz w:val="31"/>
        </w:rPr>
      </w:pPr>
    </w:p>
    <w:p>
      <w:pPr>
        <w:pStyle w:val="BodyText"/>
        <w:spacing w:line="333" w:lineRule="auto"/>
        <w:ind w:left="358" w:right="165"/>
      </w:pPr>
      <w:r>
        <w:rPr/>
        <w:t>历年来， 大学多项科研成果分别获得国家科技进步二等奖、国家教育部自然科学奖一等奖、澳门特区科技成果奖等殊荣。</w:t>
      </w:r>
    </w:p>
    <w:p>
      <w:pPr>
        <w:pStyle w:val="BodyText"/>
        <w:spacing w:before="10"/>
        <w:rPr>
          <w:sz w:val="31"/>
        </w:rPr>
      </w:pPr>
    </w:p>
    <w:p>
      <w:pPr>
        <w:pStyle w:val="BodyText"/>
        <w:spacing w:line="333" w:lineRule="auto"/>
        <w:ind w:left="358" w:right="334"/>
      </w:pPr>
      <w:r>
        <w:rPr/>
        <w:t>2018 年， 大学各类研究课题、学术论文、专利授权、师生获奖等再创历史新纪录， 多篇研究成果在国际顶尖学术期刊《科学》和《自然》期刊上发表。</w:t>
      </w:r>
    </w:p>
    <w:p>
      <w:pPr>
        <w:pStyle w:val="BodyText"/>
        <w:spacing w:line="342" w:lineRule="exact"/>
        <w:ind w:left="358"/>
      </w:pPr>
      <w:r>
        <w:rPr/>
        <w:t>获得授权的国际专利数百项， 其中极具应用价值的成果已成功与企业对接。</w:t>
      </w:r>
    </w:p>
    <w:p>
      <w:pPr>
        <w:pStyle w:val="BodyText"/>
        <w:rPr>
          <w:sz w:val="24"/>
        </w:rPr>
      </w:pPr>
    </w:p>
    <w:p>
      <w:pPr>
        <w:pStyle w:val="Heading1"/>
        <w:spacing w:before="203"/>
      </w:pPr>
      <w:r>
        <w:rPr/>
        <w:t>最年轻 20 强</w:t>
      </w:r>
    </w:p>
    <w:p>
      <w:pPr>
        <w:pStyle w:val="BodyText"/>
        <w:spacing w:line="333" w:lineRule="auto" w:before="247"/>
        <w:ind w:left="358" w:right="109"/>
        <w:jc w:val="both"/>
      </w:pPr>
      <w:r>
        <w:rPr/>
        <w:t>澳门科技大学于上海交通大学高等教育研究院世界一流大学研究中心和上海软科联合发布的“2019 年中国两岸四地大学排名”中，位列第 20 位·2011 年起位列百强， 2015 年跃进前五十强， 连续四年排名前五十， 2017 年起身前三十， 2019 年踏身前二十。</w:t>
      </w:r>
    </w:p>
    <w:p>
      <w:pPr>
        <w:spacing w:after="0" w:line="333" w:lineRule="auto"/>
        <w:jc w:val="both"/>
        <w:sectPr>
          <w:type w:val="continuous"/>
          <w:pgSz w:w="11910" w:h="16840"/>
          <w:pgMar w:top="1280" w:bottom="280" w:left="1300" w:right="1540"/>
        </w:sectPr>
      </w:pPr>
    </w:p>
    <w:p>
      <w:pPr>
        <w:pStyle w:val="BodyText"/>
        <w:spacing w:line="333" w:lineRule="auto" w:before="30"/>
        <w:ind w:left="358" w:right="149"/>
        <w:jc w:val="both"/>
      </w:pPr>
      <w:r>
        <w:rPr/>
        <w:t>澳门科技大学正处于快速成长的阶段， 进步成果有目共睹， 是一所潜力无限的大学。</w:t>
      </w:r>
    </w:p>
    <w:p>
      <w:pPr>
        <w:pStyle w:val="BodyText"/>
        <w:rPr>
          <w:sz w:val="24"/>
        </w:rPr>
      </w:pPr>
    </w:p>
    <w:p>
      <w:pPr>
        <w:pStyle w:val="Heading1"/>
        <w:spacing w:before="209"/>
      </w:pPr>
      <w:r>
        <w:rPr/>
        <w:t>独特文化</w:t>
      </w:r>
    </w:p>
    <w:p>
      <w:pPr>
        <w:pStyle w:val="BodyText"/>
        <w:spacing w:line="333" w:lineRule="auto" w:before="248"/>
        <w:ind w:left="358" w:right="155"/>
        <w:jc w:val="both"/>
      </w:pPr>
      <w:r>
        <w:rPr/>
        <w:t>大学位于东西方文化交汇的澳门。澳门三文四语的语言背景与繁荣的酒店旅游业使其具有独特风格。</w:t>
      </w:r>
    </w:p>
    <w:p>
      <w:pPr>
        <w:pStyle w:val="BodyText"/>
        <w:spacing w:before="10"/>
        <w:rPr>
          <w:sz w:val="31"/>
        </w:rPr>
      </w:pPr>
    </w:p>
    <w:p>
      <w:pPr>
        <w:pStyle w:val="BodyText"/>
        <w:spacing w:line="333" w:lineRule="auto"/>
        <w:ind w:left="358" w:right="155"/>
        <w:jc w:val="both"/>
      </w:pPr>
      <w:r>
        <w:rPr/>
        <w:t>同时， 澳门作为中葡经济合作的纽带， 与葡语国家一直保持紧密的联系。中葡论坛的设立， 更加突显出澳门作为中国与葡语国家间经贸交流与合作的平台作用。</w:t>
      </w:r>
    </w:p>
    <w:p>
      <w:pPr>
        <w:pStyle w:val="BodyText"/>
        <w:spacing w:before="10"/>
        <w:rPr>
          <w:sz w:val="31"/>
        </w:rPr>
      </w:pPr>
    </w:p>
    <w:p>
      <w:pPr>
        <w:pStyle w:val="BodyText"/>
        <w:spacing w:line="333" w:lineRule="auto"/>
        <w:ind w:left="358" w:right="155"/>
        <w:jc w:val="both"/>
      </w:pPr>
      <w:r>
        <w:rPr/>
        <w:t>澳门的博彩业、酒店与旅游业、本土特色老店等可为中小企业者提供研究样本； 而澳门社团、商会数量庞大， 中小企业家和高级职业经理人更可从中把握机*。</w:t>
      </w:r>
    </w:p>
    <w:p>
      <w:pPr>
        <w:pStyle w:val="BodyText"/>
        <w:spacing w:before="3"/>
        <w:rPr>
          <w:sz w:val="28"/>
        </w:rPr>
      </w:pPr>
    </w:p>
    <w:p>
      <w:pPr>
        <w:pStyle w:val="Heading1"/>
      </w:pPr>
      <w:r>
        <w:rPr/>
        <w:t>最佳选择</w:t>
      </w:r>
    </w:p>
    <w:p>
      <w:pPr>
        <w:pStyle w:val="BodyText"/>
        <w:spacing w:before="248"/>
        <w:ind w:left="358"/>
        <w:jc w:val="both"/>
      </w:pPr>
      <w:r>
        <w:rPr/>
        <w:t>澳门科技大学 EMBA 课程是澳门地区高校最早开设的。</w:t>
      </w:r>
    </w:p>
    <w:p>
      <w:pPr>
        <w:pStyle w:val="BodyText"/>
        <w:rPr>
          <w:sz w:val="24"/>
        </w:rPr>
      </w:pPr>
    </w:p>
    <w:p>
      <w:pPr>
        <w:pStyle w:val="BodyText"/>
        <w:spacing w:before="11"/>
        <w:rPr>
          <w:sz w:val="16"/>
        </w:rPr>
      </w:pPr>
    </w:p>
    <w:p>
      <w:pPr>
        <w:pStyle w:val="BodyText"/>
        <w:spacing w:line="333" w:lineRule="auto" w:before="1"/>
        <w:ind w:left="358" w:right="103"/>
        <w:jc w:val="both"/>
      </w:pPr>
      <w:r>
        <w:rPr/>
        <w:t>课程采用中、英文双语教学， 将世界最前沿的管理知识与中国本土企业管理实践经验相融合， 致力为学员提供管理教育的新标杆， 让学员在瞬息万变的全球经济环境中建立超前视野，开启创新思维，是高级经理人在澳门就读EMBA 课程的最佳选择。</w:t>
      </w:r>
    </w:p>
    <w:p>
      <w:pPr>
        <w:pStyle w:val="BodyText"/>
        <w:spacing w:before="2"/>
        <w:rPr>
          <w:sz w:val="28"/>
        </w:rPr>
      </w:pPr>
    </w:p>
    <w:p>
      <w:pPr>
        <w:pStyle w:val="Heading1"/>
      </w:pPr>
      <w:r>
        <w:rPr/>
        <w:t>师资队伍</w:t>
      </w:r>
    </w:p>
    <w:p>
      <w:pPr>
        <w:pStyle w:val="BodyText"/>
        <w:spacing w:line="333" w:lineRule="auto" w:before="248"/>
        <w:ind w:left="358" w:right="155"/>
        <w:jc w:val="both"/>
      </w:pPr>
      <w:r>
        <w:rPr/>
        <w:t>课程邀请来自海外的顶尖教授团队， 具有渊博的西方管理知识， 亦具备为中国本土企业管理咨询的丰富实战经验。</w:t>
      </w:r>
    </w:p>
    <w:p>
      <w:pPr>
        <w:spacing w:after="0" w:line="333" w:lineRule="auto"/>
        <w:jc w:val="both"/>
        <w:sectPr>
          <w:pgSz w:w="11910" w:h="16840"/>
          <w:pgMar w:top="1380" w:bottom="280" w:left="1300" w:right="1540"/>
        </w:sectPr>
      </w:pPr>
    </w:p>
    <w:p>
      <w:pPr>
        <w:pStyle w:val="BodyText"/>
        <w:spacing w:line="333" w:lineRule="auto" w:before="30"/>
        <w:ind w:left="358" w:right="152"/>
        <w:jc w:val="both"/>
      </w:pPr>
      <w:r>
        <w:rPr/>
        <w:t>此外，大学开设“大师系列”、“澳门社会系列”、“著名经济学家系列”、“外交官系列”、“影视名家系列”、“格物创新创业系列”等讲座， 广邀资深学者、杰出人士及商界精英。为学员提供更多学习及拓宽视野的机会。</w:t>
      </w:r>
    </w:p>
    <w:p>
      <w:pPr>
        <w:pStyle w:val="BodyText"/>
        <w:spacing w:before="3"/>
        <w:rPr>
          <w:sz w:val="28"/>
        </w:rPr>
      </w:pPr>
    </w:p>
    <w:p>
      <w:pPr>
        <w:pStyle w:val="Heading1"/>
      </w:pPr>
      <w:r>
        <w:rPr/>
        <w:t>课程设置</w:t>
      </w:r>
    </w:p>
    <w:p>
      <w:pPr>
        <w:pStyle w:val="BodyText"/>
        <w:spacing w:line="333" w:lineRule="auto" w:before="248"/>
        <w:ind w:left="358" w:right="155"/>
        <w:jc w:val="both"/>
      </w:pPr>
      <w:r>
        <w:rPr/>
        <w:t>不仅设有精选核心课程， 夯实学员管理知识基础， 亦设有灵活多元的定制化选修项目， 学员可根据个人背景进行相应选择。</w:t>
      </w:r>
    </w:p>
    <w:p>
      <w:pPr>
        <w:pStyle w:val="BodyText"/>
        <w:spacing w:before="11"/>
        <w:rPr>
          <w:sz w:val="31"/>
        </w:rPr>
      </w:pPr>
    </w:p>
    <w:p>
      <w:pPr>
        <w:pStyle w:val="BodyText"/>
        <w:spacing w:line="333" w:lineRule="auto"/>
        <w:ind w:left="358" w:right="143"/>
        <w:jc w:val="both"/>
      </w:pPr>
      <w:r>
        <w:rPr/>
        <w:t>课程设置亦高效、集中，三个学期授课(每学期 4 个月)，每月上课一次，每次上课时间为期 4 天(通常为星期四至日)。提供中英对照的学习材料， 普通话授课或英语授课配以普通话翻译， 灵活教学。</w:t>
      </w:r>
    </w:p>
    <w:p>
      <w:pPr>
        <w:pStyle w:val="BodyText"/>
        <w:spacing w:before="3"/>
        <w:rPr>
          <w:sz w:val="28"/>
        </w:rPr>
      </w:pPr>
    </w:p>
    <w:p>
      <w:pPr>
        <w:pStyle w:val="Heading1"/>
      </w:pPr>
      <w:r>
        <w:rPr/>
        <w:t>精英校友</w:t>
      </w:r>
    </w:p>
    <w:p>
      <w:pPr>
        <w:pStyle w:val="BodyText"/>
        <w:spacing w:line="333" w:lineRule="auto" w:before="248"/>
        <w:ind w:left="358" w:right="114"/>
        <w:jc w:val="both"/>
      </w:pPr>
      <w:r>
        <w:rPr/>
        <w:t>大学校友遍布全球， 不乏于世界各大名校继续升学或供职于世界 500 强企业以及自主创业的杰出校友。</w:t>
      </w:r>
    </w:p>
    <w:p>
      <w:pPr>
        <w:pStyle w:val="BodyText"/>
        <w:spacing w:before="11"/>
        <w:rPr>
          <w:sz w:val="31"/>
        </w:rPr>
      </w:pPr>
    </w:p>
    <w:p>
      <w:pPr>
        <w:pStyle w:val="BodyText"/>
        <w:spacing w:line="333" w:lineRule="auto"/>
        <w:ind w:left="358" w:right="155"/>
        <w:jc w:val="both"/>
      </w:pPr>
      <w:r>
        <w:rPr/>
        <w:t>同时， 亦有许多校友逐渐成为粤港澳地区社会政治经济发展的中坚力量。目前海峡两岸暨港澳地区已经成立多个校友会， 校友队伍正蓬勃发展中。学员可透过强大的校友平台， 极速拓展人脉网络。</w:t>
      </w:r>
    </w:p>
    <w:p>
      <w:pPr>
        <w:pStyle w:val="BodyText"/>
        <w:spacing w:before="3"/>
        <w:rPr>
          <w:sz w:val="28"/>
        </w:rPr>
      </w:pPr>
    </w:p>
    <w:p>
      <w:pPr>
        <w:pStyle w:val="Heading1"/>
      </w:pPr>
      <w:r>
        <w:rPr/>
        <w:t>课程内容</w:t>
      </w:r>
    </w:p>
    <w:p>
      <w:pPr>
        <w:pStyle w:val="BodyText"/>
        <w:spacing w:line="333" w:lineRule="auto" w:before="248"/>
        <w:ind w:left="358" w:right="152"/>
        <w:jc w:val="both"/>
      </w:pPr>
      <w:r>
        <w:rPr/>
        <w:t>精选 9 门核心科目， 为学员建立系统的商业管理思维， 全面提升创新及具全局观的战略视野， 打造坚实的管理基础， 增强核心竞争力， 提升学员的创新和战略思维。</w:t>
      </w:r>
    </w:p>
    <w:p>
      <w:pPr>
        <w:pStyle w:val="BodyText"/>
        <w:rPr>
          <w:sz w:val="24"/>
        </w:rPr>
      </w:pPr>
    </w:p>
    <w:p>
      <w:pPr>
        <w:pStyle w:val="BodyText"/>
        <w:spacing w:before="3"/>
        <w:rPr>
          <w:sz w:val="17"/>
        </w:rPr>
      </w:pPr>
    </w:p>
    <w:p>
      <w:pPr>
        <w:pStyle w:val="BodyText"/>
        <w:ind w:left="358"/>
      </w:pPr>
      <w:r>
        <w:rPr/>
        <w:t>核心科目：</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2"/>
          <w:sz w:val="23"/>
        </w:rPr>
        <w:t>组织行为学</w:t>
      </w:r>
    </w:p>
    <w:p>
      <w:pPr>
        <w:pStyle w:val="ListParagraph"/>
        <w:numPr>
          <w:ilvl w:val="0"/>
          <w:numId w:val="1"/>
        </w:numPr>
        <w:tabs>
          <w:tab w:pos="838" w:val="left" w:leader="none"/>
          <w:tab w:pos="839" w:val="left" w:leader="none"/>
        </w:tabs>
        <w:spacing w:line="240" w:lineRule="auto" w:before="133" w:after="0"/>
        <w:ind w:left="838" w:right="0" w:hanging="361"/>
        <w:jc w:val="left"/>
        <w:rPr>
          <w:sz w:val="23"/>
        </w:rPr>
      </w:pPr>
      <w:r>
        <w:rPr>
          <w:color w:val="878787"/>
          <w:spacing w:val="23"/>
          <w:sz w:val="23"/>
        </w:rPr>
        <w:t>经济政策分析</w:t>
      </w:r>
    </w:p>
    <w:p>
      <w:pPr>
        <w:spacing w:after="0" w:line="240" w:lineRule="auto"/>
        <w:jc w:val="left"/>
        <w:rPr>
          <w:sz w:val="23"/>
        </w:rPr>
        <w:sectPr>
          <w:pgSz w:w="11910" w:h="16840"/>
          <w:pgMar w:top="1380" w:bottom="280" w:left="1300" w:right="1540"/>
        </w:sectPr>
      </w:pPr>
    </w:p>
    <w:p>
      <w:pPr>
        <w:pStyle w:val="ListParagraph"/>
        <w:numPr>
          <w:ilvl w:val="0"/>
          <w:numId w:val="1"/>
        </w:numPr>
        <w:tabs>
          <w:tab w:pos="838" w:val="left" w:leader="none"/>
          <w:tab w:pos="839" w:val="left" w:leader="none"/>
        </w:tabs>
        <w:spacing w:line="240" w:lineRule="auto" w:before="30" w:after="0"/>
        <w:ind w:left="838" w:right="0" w:hanging="361"/>
        <w:jc w:val="left"/>
        <w:rPr>
          <w:sz w:val="23"/>
        </w:rPr>
      </w:pPr>
      <w:r>
        <w:rPr>
          <w:color w:val="878787"/>
          <w:spacing w:val="24"/>
          <w:sz w:val="23"/>
        </w:rPr>
        <w:t>战略与创新管理</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5"/>
          <w:sz w:val="23"/>
        </w:rPr>
        <w:t>互联网背景下的企业资讯系统</w:t>
      </w:r>
    </w:p>
    <w:p>
      <w:pPr>
        <w:pStyle w:val="ListParagraph"/>
        <w:numPr>
          <w:ilvl w:val="0"/>
          <w:numId w:val="1"/>
        </w:numPr>
        <w:tabs>
          <w:tab w:pos="838" w:val="left" w:leader="none"/>
          <w:tab w:pos="839" w:val="left" w:leader="none"/>
        </w:tabs>
        <w:spacing w:line="240" w:lineRule="auto" w:before="149" w:after="0"/>
        <w:ind w:left="838" w:right="0" w:hanging="361"/>
        <w:jc w:val="left"/>
        <w:rPr>
          <w:sz w:val="21"/>
        </w:rPr>
      </w:pPr>
      <w:r>
        <w:rPr>
          <w:color w:val="878787"/>
          <w:spacing w:val="14"/>
          <w:sz w:val="21"/>
        </w:rPr>
        <w:t>当代企业人力资源管理</w:t>
      </w:r>
    </w:p>
    <w:p>
      <w:pPr>
        <w:pStyle w:val="ListParagraph"/>
        <w:numPr>
          <w:ilvl w:val="0"/>
          <w:numId w:val="1"/>
        </w:numPr>
        <w:tabs>
          <w:tab w:pos="838" w:val="left" w:leader="none"/>
          <w:tab w:pos="839" w:val="left" w:leader="none"/>
        </w:tabs>
        <w:spacing w:line="240" w:lineRule="auto" w:before="164" w:after="0"/>
        <w:ind w:left="838" w:right="0" w:hanging="361"/>
        <w:jc w:val="left"/>
        <w:rPr>
          <w:sz w:val="21"/>
        </w:rPr>
      </w:pPr>
      <w:r>
        <w:rPr>
          <w:color w:val="878787"/>
          <w:spacing w:val="12"/>
          <w:sz w:val="21"/>
        </w:rPr>
        <w:t>企业金融与资本运作</w:t>
      </w:r>
    </w:p>
    <w:p>
      <w:pPr>
        <w:pStyle w:val="ListParagraph"/>
        <w:numPr>
          <w:ilvl w:val="0"/>
          <w:numId w:val="1"/>
        </w:numPr>
        <w:tabs>
          <w:tab w:pos="838" w:val="left" w:leader="none"/>
          <w:tab w:pos="839" w:val="left" w:leader="none"/>
        </w:tabs>
        <w:spacing w:line="240" w:lineRule="auto" w:before="164" w:after="0"/>
        <w:ind w:left="838" w:right="0" w:hanging="361"/>
        <w:jc w:val="left"/>
        <w:rPr>
          <w:sz w:val="21"/>
        </w:rPr>
      </w:pPr>
      <w:r>
        <w:rPr>
          <w:color w:val="878787"/>
          <w:spacing w:val="12"/>
          <w:sz w:val="21"/>
        </w:rPr>
        <w:t>财务报告分析与决策</w:t>
      </w:r>
    </w:p>
    <w:p>
      <w:pPr>
        <w:pStyle w:val="ListParagraph"/>
        <w:numPr>
          <w:ilvl w:val="0"/>
          <w:numId w:val="1"/>
        </w:numPr>
        <w:tabs>
          <w:tab w:pos="838" w:val="left" w:leader="none"/>
          <w:tab w:pos="839" w:val="left" w:leader="none"/>
        </w:tabs>
        <w:spacing w:line="240" w:lineRule="auto" w:before="164" w:after="0"/>
        <w:ind w:left="838" w:right="0" w:hanging="361"/>
        <w:jc w:val="left"/>
        <w:rPr>
          <w:sz w:val="21"/>
        </w:rPr>
      </w:pPr>
      <w:r>
        <w:rPr>
          <w:color w:val="878787"/>
          <w:spacing w:val="14"/>
          <w:sz w:val="21"/>
        </w:rPr>
        <w:t>营运与供应链管理</w:t>
      </w:r>
    </w:p>
    <w:p>
      <w:pPr>
        <w:pStyle w:val="ListParagraph"/>
        <w:numPr>
          <w:ilvl w:val="0"/>
          <w:numId w:val="1"/>
        </w:numPr>
        <w:tabs>
          <w:tab w:pos="838" w:val="left" w:leader="none"/>
          <w:tab w:pos="839" w:val="left" w:leader="none"/>
        </w:tabs>
        <w:spacing w:line="240" w:lineRule="auto" w:before="163" w:after="0"/>
        <w:ind w:left="838" w:right="0" w:hanging="361"/>
        <w:jc w:val="left"/>
        <w:rPr>
          <w:sz w:val="21"/>
        </w:rPr>
      </w:pPr>
      <w:r>
        <w:rPr>
          <w:color w:val="878787"/>
          <w:spacing w:val="14"/>
          <w:sz w:val="21"/>
        </w:rPr>
        <w:t>现代市场营销学</w:t>
      </w:r>
    </w:p>
    <w:p>
      <w:pPr>
        <w:pStyle w:val="BodyText"/>
        <w:rPr>
          <w:sz w:val="22"/>
        </w:rPr>
      </w:pPr>
    </w:p>
    <w:p>
      <w:pPr>
        <w:pStyle w:val="BodyText"/>
        <w:spacing w:before="6"/>
        <w:rPr>
          <w:sz w:val="16"/>
        </w:rPr>
      </w:pPr>
    </w:p>
    <w:p>
      <w:pPr>
        <w:pStyle w:val="Heading1"/>
      </w:pPr>
      <w:r>
        <w:rPr/>
        <w:t>选修科目</w:t>
      </w:r>
    </w:p>
    <w:p>
      <w:pPr>
        <w:pStyle w:val="BodyText"/>
        <w:spacing w:line="333" w:lineRule="auto" w:before="248"/>
        <w:ind w:left="358" w:right="148"/>
        <w:jc w:val="both"/>
      </w:pPr>
      <w:r>
        <w:rPr/>
        <w:t>在核心科目的基础上，设置了 10 门特色多元的选修科目，学员可根据自身职业及专业背景安排合适的选修科目， 培养学员更敏锐的商业嗅觉及实用型企业管理技能。</w:t>
      </w:r>
    </w:p>
    <w:p>
      <w:pPr>
        <w:pStyle w:val="BodyText"/>
        <w:rPr>
          <w:sz w:val="24"/>
        </w:rPr>
      </w:pPr>
    </w:p>
    <w:p>
      <w:pPr>
        <w:pStyle w:val="BodyText"/>
        <w:spacing w:before="2"/>
        <w:rPr>
          <w:sz w:val="17"/>
        </w:rPr>
      </w:pPr>
    </w:p>
    <w:p>
      <w:pPr>
        <w:pStyle w:val="BodyText"/>
        <w:ind w:left="358"/>
        <w:jc w:val="both"/>
      </w:pPr>
      <w:r>
        <w:rPr/>
        <w:t>选修科目：</w:t>
      </w:r>
    </w:p>
    <w:p>
      <w:pPr>
        <w:pStyle w:val="BodyText"/>
        <w:rPr>
          <w:sz w:val="24"/>
        </w:rPr>
      </w:pPr>
    </w:p>
    <w:p>
      <w:pPr>
        <w:pStyle w:val="BodyText"/>
        <w:spacing w:before="12"/>
        <w:rPr>
          <w:sz w:val="16"/>
        </w:rPr>
      </w:pPr>
    </w:p>
    <w:p>
      <w:pPr>
        <w:pStyle w:val="ListParagraph"/>
        <w:numPr>
          <w:ilvl w:val="0"/>
          <w:numId w:val="1"/>
        </w:numPr>
        <w:tabs>
          <w:tab w:pos="838" w:val="left" w:leader="none"/>
          <w:tab w:pos="839" w:val="left" w:leader="none"/>
        </w:tabs>
        <w:spacing w:line="240" w:lineRule="auto" w:before="0" w:after="0"/>
        <w:ind w:left="838" w:right="0" w:hanging="361"/>
        <w:jc w:val="left"/>
        <w:rPr>
          <w:sz w:val="23"/>
        </w:rPr>
      </w:pPr>
      <w:r>
        <w:rPr>
          <w:color w:val="878787"/>
          <w:spacing w:val="24"/>
          <w:sz w:val="23"/>
        </w:rPr>
        <w:t>服务策略与管理</w:t>
      </w:r>
    </w:p>
    <w:p>
      <w:pPr>
        <w:pStyle w:val="ListParagraph"/>
        <w:numPr>
          <w:ilvl w:val="0"/>
          <w:numId w:val="1"/>
        </w:numPr>
        <w:tabs>
          <w:tab w:pos="838" w:val="left" w:leader="none"/>
          <w:tab w:pos="839" w:val="left" w:leader="none"/>
        </w:tabs>
        <w:spacing w:line="240" w:lineRule="auto" w:before="133" w:after="0"/>
        <w:ind w:left="838" w:right="0" w:hanging="361"/>
        <w:jc w:val="left"/>
        <w:rPr>
          <w:sz w:val="23"/>
        </w:rPr>
      </w:pPr>
      <w:r>
        <w:rPr>
          <w:color w:val="878787"/>
          <w:spacing w:val="24"/>
          <w:sz w:val="23"/>
        </w:rPr>
        <w:t>商业模式分析与设计</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4"/>
          <w:sz w:val="23"/>
        </w:rPr>
        <w:t>企业创新与创业管理</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4"/>
          <w:sz w:val="23"/>
        </w:rPr>
        <w:t>服务团队建设与领导</w:t>
      </w:r>
    </w:p>
    <w:p>
      <w:pPr>
        <w:pStyle w:val="ListParagraph"/>
        <w:numPr>
          <w:ilvl w:val="0"/>
          <w:numId w:val="1"/>
        </w:numPr>
        <w:tabs>
          <w:tab w:pos="838" w:val="left" w:leader="none"/>
          <w:tab w:pos="839" w:val="left" w:leader="none"/>
        </w:tabs>
        <w:spacing w:line="240" w:lineRule="auto" w:before="133" w:after="0"/>
        <w:ind w:left="838" w:right="0" w:hanging="361"/>
        <w:jc w:val="left"/>
        <w:rPr>
          <w:sz w:val="23"/>
        </w:rPr>
      </w:pPr>
      <w:r>
        <w:rPr>
          <w:color w:val="878787"/>
          <w:spacing w:val="25"/>
          <w:sz w:val="23"/>
        </w:rPr>
        <w:t>公司治理与投融资管理</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4"/>
          <w:sz w:val="23"/>
        </w:rPr>
        <w:t>服务设计与品质管制</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4"/>
          <w:sz w:val="23"/>
        </w:rPr>
        <w:t>上市、兼并与重组</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4"/>
          <w:sz w:val="23"/>
        </w:rPr>
        <w:t>品牌创新与管理</w:t>
      </w:r>
    </w:p>
    <w:p>
      <w:pPr>
        <w:pStyle w:val="ListParagraph"/>
        <w:numPr>
          <w:ilvl w:val="0"/>
          <w:numId w:val="1"/>
        </w:numPr>
        <w:tabs>
          <w:tab w:pos="838" w:val="left" w:leader="none"/>
          <w:tab w:pos="839" w:val="left" w:leader="none"/>
        </w:tabs>
        <w:spacing w:line="240" w:lineRule="auto" w:before="134" w:after="0"/>
        <w:ind w:left="838" w:right="0" w:hanging="361"/>
        <w:jc w:val="left"/>
        <w:rPr>
          <w:sz w:val="23"/>
        </w:rPr>
      </w:pPr>
      <w:r>
        <w:rPr>
          <w:color w:val="878787"/>
          <w:spacing w:val="25"/>
          <w:sz w:val="23"/>
        </w:rPr>
        <w:t>商学最新前沿专题讲座Ⅰ</w:t>
      </w:r>
    </w:p>
    <w:p>
      <w:pPr>
        <w:pStyle w:val="ListParagraph"/>
        <w:numPr>
          <w:ilvl w:val="0"/>
          <w:numId w:val="1"/>
        </w:numPr>
        <w:tabs>
          <w:tab w:pos="838" w:val="left" w:leader="none"/>
          <w:tab w:pos="839" w:val="left" w:leader="none"/>
        </w:tabs>
        <w:spacing w:line="240" w:lineRule="auto" w:before="133" w:after="0"/>
        <w:ind w:left="838" w:right="0" w:hanging="361"/>
        <w:jc w:val="left"/>
        <w:rPr>
          <w:sz w:val="23"/>
        </w:rPr>
      </w:pPr>
      <w:r>
        <w:rPr>
          <w:color w:val="878787"/>
          <w:spacing w:val="25"/>
          <w:sz w:val="23"/>
        </w:rPr>
        <w:t>商学最新前沿专题讲座Ⅱ</w:t>
      </w:r>
    </w:p>
    <w:p>
      <w:pPr>
        <w:pStyle w:val="BodyText"/>
        <w:rPr>
          <w:sz w:val="24"/>
        </w:rPr>
      </w:pPr>
    </w:p>
    <w:p>
      <w:pPr>
        <w:spacing w:before="210"/>
        <w:ind w:left="118" w:right="0" w:firstLine="0"/>
        <w:jc w:val="left"/>
        <w:rPr>
          <w:rFonts w:ascii="Microsoft YaHei UI" w:eastAsia="Microsoft YaHei UI" w:hint="eastAsia"/>
          <w:b/>
          <w:sz w:val="23"/>
        </w:rPr>
      </w:pPr>
      <w:r>
        <w:rPr>
          <w:rFonts w:ascii="Microsoft YaHei UI" w:eastAsia="Microsoft YaHei UI" w:hint="eastAsia"/>
          <w:b/>
          <w:sz w:val="23"/>
        </w:rPr>
        <w:t>超越自我训练</w:t>
      </w:r>
    </w:p>
    <w:p>
      <w:pPr>
        <w:pStyle w:val="BodyText"/>
        <w:spacing w:before="8"/>
        <w:rPr>
          <w:rFonts w:ascii="Microsoft YaHei UI"/>
          <w:b/>
          <w:sz w:val="14"/>
        </w:rPr>
      </w:pPr>
    </w:p>
    <w:p>
      <w:pPr>
        <w:pStyle w:val="BodyText"/>
        <w:spacing w:line="333" w:lineRule="auto"/>
        <w:ind w:left="358" w:right="155"/>
        <w:jc w:val="both"/>
      </w:pPr>
      <w:r>
        <w:rPr/>
        <w:t>要在竞争激烈及瞬息万变的商业环境中赢得竞争优势， 管理者必须不断挑战自己、超越自我。</w:t>
      </w:r>
    </w:p>
    <w:p>
      <w:pPr>
        <w:spacing w:after="0" w:line="333" w:lineRule="auto"/>
        <w:jc w:val="both"/>
        <w:sectPr>
          <w:pgSz w:w="11910" w:h="16840"/>
          <w:pgMar w:top="1380" w:bottom="280" w:left="1300" w:right="1540"/>
        </w:sectPr>
      </w:pPr>
    </w:p>
    <w:p>
      <w:pPr>
        <w:pStyle w:val="BodyText"/>
        <w:spacing w:before="7"/>
        <w:rPr>
          <w:sz w:val="17"/>
        </w:rPr>
      </w:pPr>
    </w:p>
    <w:p>
      <w:pPr>
        <w:pStyle w:val="BodyText"/>
        <w:spacing w:line="333" w:lineRule="auto" w:before="47"/>
        <w:ind w:left="358" w:right="155"/>
        <w:jc w:val="both"/>
      </w:pPr>
      <w:r>
        <w:rPr/>
        <w:t>课程除完成教学计划规定的科目学习外， 还将从个人发展、行动学习、商战模拟等方面， 全方位客观分析个人领导风格及能力， 提升学员团队管理及领导能力， 挖掘与激发学员最大潜能。</w:t>
      </w:r>
    </w:p>
    <w:p>
      <w:pPr>
        <w:pStyle w:val="BodyText"/>
        <w:spacing w:before="9"/>
        <w:rPr>
          <w:sz w:val="31"/>
        </w:rPr>
      </w:pPr>
    </w:p>
    <w:p>
      <w:pPr>
        <w:pStyle w:val="BodyText"/>
        <w:spacing w:line="333" w:lineRule="auto"/>
        <w:ind w:left="358" w:right="165"/>
        <w:jc w:val="both"/>
      </w:pPr>
      <w:r>
        <w:rPr/>
        <w:t>跨文化和全球视野下管理实践环球游学体验模块， 将带领学员走访欧洲葡语系国家或港台地区， 与当地知名高校 EMBA 学员交流， 共同听课。</w:t>
      </w:r>
    </w:p>
    <w:p>
      <w:pPr>
        <w:pStyle w:val="BodyText"/>
        <w:spacing w:before="11"/>
        <w:rPr>
          <w:sz w:val="31"/>
        </w:rPr>
      </w:pPr>
    </w:p>
    <w:p>
      <w:pPr>
        <w:pStyle w:val="BodyText"/>
        <w:spacing w:line="333" w:lineRule="auto"/>
        <w:ind w:left="358" w:right="165"/>
        <w:jc w:val="both"/>
      </w:pPr>
      <w:r>
        <w:rPr/>
        <w:t>透过课堂讲授、企业访问、实地跨文化考察、政商界精英对话等， 学员可以学习不同国家和地区的先进管理理念与实践经验， 获悉最前沿商业动态， 掌握更多可内化与应用于实际的商业知识， 一步一个脚印迈向个人及企业发展的新台阶。</w:t>
      </w:r>
    </w:p>
    <w:p>
      <w:pPr>
        <w:pStyle w:val="BodyText"/>
        <w:spacing w:before="2"/>
        <w:rPr>
          <w:sz w:val="28"/>
        </w:rPr>
      </w:pPr>
    </w:p>
    <w:p>
      <w:pPr>
        <w:pStyle w:val="Heading1"/>
      </w:pPr>
      <w:r>
        <w:rPr/>
        <w:t>课程及学费</w:t>
      </w:r>
    </w:p>
    <w:p>
      <w:pPr>
        <w:pStyle w:val="BodyText"/>
        <w:spacing w:before="248"/>
        <w:ind w:left="358"/>
      </w:pPr>
      <w:r>
        <w:rPr/>
        <w:t>科目修读时间为 18 个月， 项目报告写作时间为 6 个月。</w:t>
      </w:r>
    </w:p>
    <w:p>
      <w:pPr>
        <w:pStyle w:val="BodyText"/>
        <w:spacing w:line="333" w:lineRule="auto" w:before="134"/>
        <w:ind w:left="358" w:right="1449"/>
      </w:pPr>
      <w:r>
        <w:rPr/>
        <w:t>上课时间采取集中制， 每个月集中上课 4 天（ 含周六和周日） 。学费： 30 万港币</w:t>
      </w:r>
    </w:p>
    <w:p>
      <w:pPr>
        <w:pStyle w:val="BodyText"/>
        <w:spacing w:line="333" w:lineRule="auto"/>
        <w:ind w:left="358" w:right="164"/>
      </w:pPr>
      <w:r>
        <w:rPr/>
        <w:t>（ 学员需自行负担课程教学之外的其它费用， 如考察、保险、交通、食宿及日常生活费用。）</w:t>
      </w:r>
    </w:p>
    <w:p>
      <w:pPr>
        <w:pStyle w:val="BodyText"/>
        <w:spacing w:before="1"/>
        <w:rPr>
          <w:sz w:val="28"/>
        </w:rPr>
      </w:pPr>
    </w:p>
    <w:p>
      <w:pPr>
        <w:pStyle w:val="Heading1"/>
        <w:spacing w:before="1"/>
      </w:pPr>
      <w:r>
        <w:rPr/>
        <w:t>颁发学位</w:t>
      </w:r>
    </w:p>
    <w:p>
      <w:pPr>
        <w:pStyle w:val="BodyText"/>
        <w:spacing w:line="333" w:lineRule="auto" w:before="247"/>
        <w:ind w:left="358" w:right="184"/>
      </w:pPr>
      <w:r>
        <w:rPr/>
        <w:t>学员修毕所需课程， 通过考核获得 48 学分， 并撰写一篇 5000 字的“项目报告”， 合共修满 51 学分， 并满足学位授予的其他条件， 可获颁发毕业证书， 授予“高级管理人员工商管理硕士”学位。</w:t>
      </w:r>
    </w:p>
    <w:p>
      <w:pPr>
        <w:pStyle w:val="BodyText"/>
        <w:spacing w:before="4"/>
        <w:rPr>
          <w:sz w:val="28"/>
        </w:rPr>
      </w:pPr>
    </w:p>
    <w:p>
      <w:pPr>
        <w:pStyle w:val="Heading1"/>
      </w:pPr>
      <w:r>
        <w:rPr/>
        <w:t>报读资格</w:t>
      </w:r>
    </w:p>
    <w:p>
      <w:pPr>
        <w:pStyle w:val="BodyText"/>
        <w:spacing w:before="248"/>
        <w:ind w:left="358"/>
      </w:pPr>
      <w:r>
        <w:rPr/>
        <w:t>具有认可的学士学位或同等学历； 并具有至少 5 年的管理工作经验。</w:t>
      </w:r>
    </w:p>
    <w:sectPr>
      <w:pgSz w:w="11910" w:h="16840"/>
      <w:pgMar w:top="1580" w:bottom="280" w:left="13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YaHei UI">
    <w:altName w:val="Microsoft YaHei UI"/>
    <w:charset w:val="86"/>
    <w:family w:val="swiss"/>
    <w:pitch w:val="variable"/>
  </w:font>
  <w:font w:name="等线">
    <w:altName w:val="等线"/>
    <w:charset w:val="86"/>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8" w:hanging="360"/>
      </w:pPr>
      <w:rPr>
        <w:rFonts w:hint="default" w:ascii="Wingdings" w:hAnsi="Wingdings" w:eastAsia="Wingdings" w:cs="Wingdings"/>
        <w:w w:val="99"/>
        <w:sz w:val="20"/>
        <w:szCs w:val="20"/>
        <w:lang w:val="zh-CN" w:eastAsia="zh-CN" w:bidi="zh-CN"/>
      </w:rPr>
    </w:lvl>
    <w:lvl w:ilvl="1">
      <w:start w:val="0"/>
      <w:numFmt w:val="bullet"/>
      <w:lvlText w:val="•"/>
      <w:lvlJc w:val="left"/>
      <w:pPr>
        <w:ind w:left="1662" w:hanging="360"/>
      </w:pPr>
      <w:rPr>
        <w:rFonts w:hint="default"/>
        <w:lang w:val="zh-CN" w:eastAsia="zh-CN" w:bidi="zh-CN"/>
      </w:rPr>
    </w:lvl>
    <w:lvl w:ilvl="2">
      <w:start w:val="0"/>
      <w:numFmt w:val="bullet"/>
      <w:lvlText w:val="•"/>
      <w:lvlJc w:val="left"/>
      <w:pPr>
        <w:ind w:left="2485" w:hanging="360"/>
      </w:pPr>
      <w:rPr>
        <w:rFonts w:hint="default"/>
        <w:lang w:val="zh-CN" w:eastAsia="zh-CN" w:bidi="zh-CN"/>
      </w:rPr>
    </w:lvl>
    <w:lvl w:ilvl="3">
      <w:start w:val="0"/>
      <w:numFmt w:val="bullet"/>
      <w:lvlText w:val="•"/>
      <w:lvlJc w:val="left"/>
      <w:pPr>
        <w:ind w:left="3307" w:hanging="360"/>
      </w:pPr>
      <w:rPr>
        <w:rFonts w:hint="default"/>
        <w:lang w:val="zh-CN" w:eastAsia="zh-CN" w:bidi="zh-CN"/>
      </w:rPr>
    </w:lvl>
    <w:lvl w:ilvl="4">
      <w:start w:val="0"/>
      <w:numFmt w:val="bullet"/>
      <w:lvlText w:val="•"/>
      <w:lvlJc w:val="left"/>
      <w:pPr>
        <w:ind w:left="4130" w:hanging="360"/>
      </w:pPr>
      <w:rPr>
        <w:rFonts w:hint="default"/>
        <w:lang w:val="zh-CN" w:eastAsia="zh-CN" w:bidi="zh-CN"/>
      </w:rPr>
    </w:lvl>
    <w:lvl w:ilvl="5">
      <w:start w:val="0"/>
      <w:numFmt w:val="bullet"/>
      <w:lvlText w:val="•"/>
      <w:lvlJc w:val="left"/>
      <w:pPr>
        <w:ind w:left="4953" w:hanging="360"/>
      </w:pPr>
      <w:rPr>
        <w:rFonts w:hint="default"/>
        <w:lang w:val="zh-CN" w:eastAsia="zh-CN" w:bidi="zh-CN"/>
      </w:rPr>
    </w:lvl>
    <w:lvl w:ilvl="6">
      <w:start w:val="0"/>
      <w:numFmt w:val="bullet"/>
      <w:lvlText w:val="•"/>
      <w:lvlJc w:val="left"/>
      <w:pPr>
        <w:ind w:left="5775" w:hanging="360"/>
      </w:pPr>
      <w:rPr>
        <w:rFonts w:hint="default"/>
        <w:lang w:val="zh-CN" w:eastAsia="zh-CN" w:bidi="zh-CN"/>
      </w:rPr>
    </w:lvl>
    <w:lvl w:ilvl="7">
      <w:start w:val="0"/>
      <w:numFmt w:val="bullet"/>
      <w:lvlText w:val="•"/>
      <w:lvlJc w:val="left"/>
      <w:pPr>
        <w:ind w:left="6598" w:hanging="360"/>
      </w:pPr>
      <w:rPr>
        <w:rFonts w:hint="default"/>
        <w:lang w:val="zh-CN" w:eastAsia="zh-CN" w:bidi="zh-CN"/>
      </w:rPr>
    </w:lvl>
    <w:lvl w:ilvl="8">
      <w:start w:val="0"/>
      <w:numFmt w:val="bullet"/>
      <w:lvlText w:val="•"/>
      <w:lvlJc w:val="left"/>
      <w:pPr>
        <w:ind w:left="7421" w:hanging="360"/>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等线" w:hAnsi="等线" w:eastAsia="等线" w:cs="等线"/>
      <w:lang w:val="zh-CN" w:eastAsia="zh-CN" w:bidi="zh-CN"/>
    </w:rPr>
  </w:style>
  <w:style w:styleId="BodyText" w:type="paragraph">
    <w:name w:val="Body Text"/>
    <w:basedOn w:val="Normal"/>
    <w:uiPriority w:val="1"/>
    <w:qFormat/>
    <w:pPr/>
    <w:rPr>
      <w:rFonts w:ascii="等线" w:hAnsi="等线" w:eastAsia="等线" w:cs="等线"/>
      <w:sz w:val="23"/>
      <w:szCs w:val="23"/>
      <w:lang w:val="zh-CN" w:eastAsia="zh-CN" w:bidi="zh-CN"/>
    </w:rPr>
  </w:style>
  <w:style w:styleId="Heading1" w:type="paragraph">
    <w:name w:val="Heading 1"/>
    <w:basedOn w:val="Normal"/>
    <w:uiPriority w:val="1"/>
    <w:qFormat/>
    <w:pPr>
      <w:ind w:left="118"/>
      <w:outlineLvl w:val="1"/>
    </w:pPr>
    <w:rPr>
      <w:rFonts w:ascii="Microsoft YaHei UI" w:hAnsi="Microsoft YaHei UI" w:eastAsia="Microsoft YaHei UI" w:cs="Microsoft YaHei UI"/>
      <w:b/>
      <w:bCs/>
      <w:sz w:val="24"/>
      <w:szCs w:val="24"/>
      <w:lang w:val="zh-CN" w:eastAsia="zh-CN" w:bidi="zh-CN"/>
    </w:rPr>
  </w:style>
  <w:style w:styleId="ListParagraph" w:type="paragraph">
    <w:name w:val="List Paragraph"/>
    <w:basedOn w:val="Normal"/>
    <w:uiPriority w:val="1"/>
    <w:qFormat/>
    <w:pPr>
      <w:spacing w:before="134"/>
      <w:ind w:left="838" w:hanging="361"/>
    </w:pPr>
    <w:rPr>
      <w:rFonts w:ascii="等线" w:hAnsi="等线" w:eastAsia="等线" w:cs="等线"/>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jiajia</dc:creator>
  <dcterms:created xsi:type="dcterms:W3CDTF">2020-05-14T05:55:47Z</dcterms:created>
  <dcterms:modified xsi:type="dcterms:W3CDTF">2020-05-14T05:55:47Z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2019</vt:lpwstr>
  </property>
  <property fmtid="{D5CDD505-2E9C-101B-9397-08002B2CF9AE}" pid="4" name="LastSaved">
    <vt:filetime>2020-05-14T00:00:00Z</vt:filetime>
  </property>
</Properties>
</file>