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琥珀" w:hAnsi="华文琥珀" w:eastAsia="华文琥珀" w:cs="华文琥珀"/>
          <w:color w:val="111111"/>
          <w:spacing w:val="40"/>
          <w:position w:val="2"/>
          <w:sz w:val="84"/>
          <w:szCs w:val="84"/>
        </w:rPr>
      </w:pPr>
    </w:p>
    <w:p>
      <w:pPr>
        <w:jc w:val="center"/>
        <w:rPr>
          <w:rFonts w:hint="eastAsia" w:ascii="华文琥珀" w:hAnsi="华文琥珀" w:eastAsia="华文琥珀" w:cs="华文琥珀"/>
          <w:color w:val="111111"/>
          <w:spacing w:val="40"/>
          <w:position w:val="2"/>
          <w:sz w:val="84"/>
          <w:szCs w:val="84"/>
          <w:lang w:eastAsia="zh-CN"/>
        </w:rPr>
      </w:pPr>
      <w:r>
        <w:rPr>
          <w:rFonts w:hint="eastAsia" w:ascii="华文琥珀" w:hAnsi="华文琥珀" w:eastAsia="华文琥珀" w:cs="华文琥珀"/>
          <w:color w:val="111111"/>
          <w:spacing w:val="40"/>
          <w:position w:val="2"/>
          <w:sz w:val="84"/>
          <w:szCs w:val="84"/>
          <w:lang w:eastAsia="zh-CN"/>
        </w:rPr>
        <w:drawing>
          <wp:inline distT="0" distB="0" distL="114300" distR="114300">
            <wp:extent cx="1887220" cy="1971040"/>
            <wp:effectExtent l="0" t="0" r="0" b="10160"/>
            <wp:docPr id="1" name="图片 1" descr="f8c95c66c00fe4326399637afaeaa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8c95c66c00fe4326399637afaeaa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琥珀" w:hAnsi="华文琥珀" w:eastAsia="华文琥珀" w:cs="华文琥珀"/>
          <w:color w:val="FFFF00"/>
          <w:spacing w:val="40"/>
          <w:position w:val="2"/>
          <w:sz w:val="72"/>
          <w:szCs w:val="7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pacing w:val="40"/>
          <w:position w:val="2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40"/>
          <w:position w:val="2"/>
          <w:sz w:val="72"/>
          <w:szCs w:val="72"/>
          <w14:textFill>
            <w14:solidFill>
              <w14:schemeClr w14:val="tx1"/>
            </w14:solidFill>
          </w14:textFill>
        </w:rPr>
        <w:t>泰国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40"/>
          <w:position w:val="2"/>
          <w:sz w:val="72"/>
          <w:szCs w:val="72"/>
          <w:lang w:eastAsia="zh-CN"/>
          <w14:textFill>
            <w14:solidFill>
              <w14:schemeClr w14:val="tx1"/>
            </w14:solidFill>
          </w14:textFill>
        </w:rPr>
        <w:t>皇家师范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40"/>
          <w:position w:val="2"/>
          <w:sz w:val="72"/>
          <w:szCs w:val="72"/>
          <w14:textFill>
            <w14:solidFill>
              <w14:schemeClr w14:val="tx1"/>
            </w14:solidFill>
          </w14:textFill>
        </w:rPr>
        <w:t>大学</w:t>
      </w:r>
    </w:p>
    <w:p>
      <w:pPr>
        <w:jc w:val="center"/>
        <w:rPr>
          <w:rStyle w:val="12"/>
          <w:rFonts w:hint="eastAsia" w:ascii="宋体" w:hAnsi="宋体" w:eastAsia="宋体" w:cs="宋体"/>
          <w:b w:val="0"/>
          <w:bCs/>
          <w:color w:val="9BBB59" w:themeColor="accent3"/>
          <w:sz w:val="36"/>
          <w:szCs w:val="36"/>
          <w:shd w:val="clear" w:color="auto" w:fill="FFFFFF"/>
          <w:lang w:val="en-US" w:eastAsia="zh-CN"/>
          <w14:textFill>
            <w14:solidFill>
              <w14:schemeClr w14:val="accent3"/>
            </w14:solidFill>
          </w14:textFill>
        </w:rPr>
      </w:pPr>
      <w:r>
        <w:rPr>
          <w:rStyle w:val="12"/>
          <w:rFonts w:hint="eastAsia" w:ascii="宋体" w:hAnsi="宋体" w:eastAsia="宋体" w:cs="宋体"/>
          <w:b w:val="0"/>
          <w:bCs/>
          <w:color w:val="9BBB59" w:themeColor="accent3"/>
          <w:sz w:val="36"/>
          <w:szCs w:val="36"/>
          <w:shd w:val="clear" w:color="auto" w:fill="FFFFFF"/>
          <w:lang w:val="en-US" w:eastAsia="zh-CN"/>
          <w14:textFill>
            <w14:solidFill>
              <w14:schemeClr w14:val="accent3"/>
            </w14:solidFill>
          </w14:textFill>
        </w:rPr>
        <w:t>Rajabhat Rajanagarindra University</w:t>
      </w:r>
    </w:p>
    <w:p>
      <w:pPr>
        <w:jc w:val="center"/>
        <w:rPr>
          <w:rStyle w:val="12"/>
          <w:rFonts w:ascii="Adobe Gothic Std B" w:hAnsi="Adobe Gothic Std B" w:eastAsia="Adobe Gothic Std B" w:cs="Adobe Gothic Std B"/>
          <w:color w:val="333333"/>
          <w:sz w:val="72"/>
          <w:szCs w:val="72"/>
          <w:shd w:val="clear" w:color="auto" w:fill="FFFFFF"/>
        </w:rPr>
      </w:pPr>
    </w:p>
    <w:p>
      <w:pPr>
        <w:jc w:val="center"/>
        <w:rPr>
          <w:rStyle w:val="12"/>
          <w:rFonts w:ascii="Adobe Gothic Std B" w:hAnsi="Adobe Gothic Std B" w:cs="Adobe Gothic Std B"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Style w:val="12"/>
          <w:rFonts w:hint="eastAsia" w:ascii="楷体" w:hAnsi="楷体" w:eastAsia="楷体" w:cs="楷体"/>
          <w:color w:val="333333"/>
          <w:position w:val="-3"/>
          <w:sz w:val="36"/>
          <w:szCs w:val="36"/>
          <w:shd w:val="clear" w:color="auto" w:fill="FFFFFF"/>
        </w:rPr>
      </w:pPr>
    </w:p>
    <w:p>
      <w:pPr>
        <w:jc w:val="center"/>
        <w:rPr>
          <w:rStyle w:val="12"/>
          <w:rFonts w:hint="eastAsia" w:ascii="楷体" w:hAnsi="楷体" w:eastAsia="楷体" w:cs="楷体"/>
          <w:color w:val="333333"/>
          <w:position w:val="-3"/>
          <w:sz w:val="36"/>
          <w:szCs w:val="36"/>
          <w:shd w:val="clear" w:color="auto" w:fill="FFFFFF"/>
        </w:rPr>
      </w:pPr>
    </w:p>
    <w:p>
      <w:pPr>
        <w:jc w:val="center"/>
        <w:rPr>
          <w:rStyle w:val="12"/>
          <w:rFonts w:hint="eastAsia" w:ascii="楷体" w:hAnsi="楷体" w:eastAsia="楷体" w:cs="楷体"/>
          <w:color w:val="333333"/>
          <w:position w:val="-3"/>
          <w:sz w:val="36"/>
          <w:szCs w:val="36"/>
          <w:shd w:val="clear" w:color="auto" w:fill="FFFFFF"/>
        </w:rPr>
      </w:pPr>
    </w:p>
    <w:p>
      <w:pPr>
        <w:jc w:val="center"/>
        <w:rPr>
          <w:rStyle w:val="12"/>
          <w:rFonts w:hint="eastAsia" w:ascii="楷体" w:hAnsi="楷体" w:eastAsia="楷体" w:cs="楷体"/>
          <w:color w:val="333333"/>
          <w:position w:val="-3"/>
          <w:sz w:val="36"/>
          <w:szCs w:val="36"/>
          <w:shd w:val="clear" w:color="auto" w:fill="FFFFFF"/>
        </w:rPr>
      </w:pPr>
    </w:p>
    <w:p>
      <w:pPr>
        <w:jc w:val="center"/>
        <w:rPr>
          <w:rStyle w:val="12"/>
          <w:rFonts w:hint="eastAsia" w:ascii="楷体" w:hAnsi="楷体" w:eastAsia="楷体" w:cs="楷体"/>
          <w:color w:val="333333"/>
          <w:position w:val="-3"/>
          <w:sz w:val="36"/>
          <w:szCs w:val="36"/>
          <w:shd w:val="clear" w:color="auto" w:fill="FFFFFF"/>
        </w:rPr>
      </w:pPr>
    </w:p>
    <w:p>
      <w:pPr>
        <w:ind w:firstLine="723" w:firstLineChars="200"/>
        <w:jc w:val="both"/>
        <w:rPr>
          <w:rStyle w:val="12"/>
          <w:rFonts w:hint="eastAsia" w:ascii="楷体" w:hAnsi="楷体" w:eastAsia="楷体" w:cs="楷体"/>
          <w:color w:val="333333"/>
          <w:position w:val="-3"/>
          <w:sz w:val="36"/>
          <w:szCs w:val="36"/>
          <w:shd w:val="clear" w:color="auto" w:fill="FFFFFF"/>
          <w:lang w:val="en-US" w:eastAsia="zh-CN"/>
        </w:rPr>
      </w:pPr>
      <w:r>
        <w:rPr>
          <w:rStyle w:val="12"/>
          <w:rFonts w:hint="eastAsia" w:ascii="楷体" w:hAnsi="楷体" w:eastAsia="楷体" w:cs="楷体"/>
          <w:color w:val="333333"/>
          <w:position w:val="-3"/>
          <w:sz w:val="36"/>
          <w:szCs w:val="36"/>
          <w:shd w:val="clear" w:color="auto" w:fill="FFFFFF"/>
        </w:rPr>
        <w:t>中国教育部涉外监管信息网推荐</w:t>
      </w:r>
      <w:r>
        <w:rPr>
          <w:rStyle w:val="12"/>
          <w:rFonts w:hint="eastAsia" w:ascii="楷体" w:hAnsi="楷体" w:eastAsia="楷体" w:cs="楷体"/>
          <w:color w:val="333333"/>
          <w:position w:val="-3"/>
          <w:sz w:val="36"/>
          <w:szCs w:val="36"/>
          <w:shd w:val="clear" w:color="auto" w:fill="FFFFFF"/>
          <w:lang w:eastAsia="zh-CN"/>
        </w:rPr>
        <w:t>泰国</w:t>
      </w:r>
      <w:r>
        <w:rPr>
          <w:rStyle w:val="12"/>
          <w:rFonts w:hint="eastAsia" w:ascii="楷体" w:hAnsi="楷体" w:eastAsia="楷体" w:cs="楷体"/>
          <w:color w:val="333333"/>
          <w:position w:val="-3"/>
          <w:sz w:val="36"/>
          <w:szCs w:val="36"/>
          <w:shd w:val="clear" w:color="auto" w:fill="FFFFFF"/>
        </w:rPr>
        <w:t>院校</w:t>
      </w:r>
      <w:r>
        <w:rPr>
          <w:rStyle w:val="12"/>
          <w:rFonts w:hint="eastAsia" w:ascii="楷体" w:hAnsi="楷体" w:eastAsia="楷体" w:cs="楷体"/>
          <w:color w:val="333333"/>
          <w:position w:val="-3"/>
          <w:sz w:val="36"/>
          <w:szCs w:val="36"/>
          <w:shd w:val="clear" w:color="auto" w:fill="FFFFFF"/>
          <w:lang w:val="en-US" w:eastAsia="zh-CN"/>
        </w:rPr>
        <w:t>35位</w:t>
      </w:r>
    </w:p>
    <w:p>
      <w:pPr>
        <w:jc w:val="center"/>
        <w:rPr>
          <w:rStyle w:val="12"/>
          <w:rFonts w:ascii="楷体" w:hAnsi="楷体" w:eastAsia="楷体" w:cs="楷体"/>
          <w:color w:val="333333"/>
          <w:position w:val="-3"/>
          <w:sz w:val="36"/>
          <w:szCs w:val="36"/>
          <w:shd w:val="clear" w:color="auto" w:fill="FFFFFF"/>
        </w:rPr>
      </w:pPr>
      <w:r>
        <w:rPr>
          <w:rStyle w:val="12"/>
          <w:rFonts w:hint="eastAsia" w:ascii="楷体" w:hAnsi="楷体" w:eastAsia="楷体" w:cs="楷体"/>
          <w:color w:val="333333"/>
          <w:position w:val="-3"/>
          <w:sz w:val="36"/>
          <w:szCs w:val="36"/>
          <w:shd w:val="clear" w:color="auto" w:fill="FFFFFF"/>
        </w:rPr>
        <w:t>具有学士、硕士、博士学位授予的高等院校</w:t>
      </w:r>
    </w:p>
    <w:p>
      <w:pPr>
        <w:spacing w:line="460" w:lineRule="exac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学校简介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泰国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皇家师范</w:t>
      </w:r>
      <w:r>
        <w:rPr>
          <w:rFonts w:hint="eastAsia" w:ascii="微软雅黑" w:hAnsi="微软雅黑" w:eastAsia="微软雅黑" w:cs="微软雅黑"/>
          <w:sz w:val="24"/>
          <w:szCs w:val="24"/>
        </w:rPr>
        <w:t>大学（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Rajabhat Rajanagarindra University）创办于1940年，坐落于泰国北柳府，简称北柳皇家师范大学）校园占地1300多亩，两大校区，距离曼谷素万那普国际机场大约45公里和75公里。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师范大学目前设立8个学院，30多个专业，6个硕士点和3个博士点，在校学生8000余人，教职工700多人，是一所泰国重点公立大学，学历学位国际认可。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除泰国本地学生，还来自美国 日本 韩国 印度 中国及非洲等国家留学生，不同的学院采用不同种类语言进行教学，有泰文课程，英文课程和中文课程。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师范大学有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6个教学中心，有现代图书资料中心和多元化图书馆、计算机中心、语言文化中心、现代化电教制作中心、职业培训中心、学生会所、健身中心和运动场等。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该校是泰国最早实现国际合作的高等教育单位之一，国际化程度较高，与美国、德国、英国、法国、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中国</w:t>
      </w:r>
      <w:r>
        <w:rPr>
          <w:rFonts w:hint="eastAsia" w:ascii="微软雅黑" w:hAnsi="微软雅黑" w:eastAsia="微软雅黑" w:cs="微软雅黑"/>
          <w:sz w:val="24"/>
          <w:szCs w:val="24"/>
        </w:rPr>
        <w:t>、瑞典、澳大利亚、日本、马来西亚、新加坡、越南等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知名大学及科研机构进行学科合作，共同进行学科研究，教师及学生交换，学分互认等。</w:t>
      </w:r>
    </w:p>
    <w:p>
      <w:pPr>
        <w:pStyle w:val="3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学校优势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泰国是礼仪之邦，华人在泰国拥有较高的社会地位；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本项目系师范大学人才培养专项计划，学生不必提供雅思，托福和中国高考成绩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采用材料审核与面试甄选相结合的入学资格考试方式，择优录取，即凡是面试通过或经专家推荐的学生均可录取。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采用定制培养模式，课程既符合全球发展的趋势，又契合国内教育特色；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教师均来自国际名校，采用多语言教学，校内统一住宿，24小时生活助教服务；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该校是中国教育部涉外监管网推荐院校35位，毕业回国后可获得中国留学服务中心的学位认证。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专业设置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本科：</w:t>
      </w:r>
    </w:p>
    <w:tbl>
      <w:tblPr>
        <w:tblStyle w:val="9"/>
        <w:tblW w:w="10095" w:type="dxa"/>
        <w:tblInd w:w="-519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58"/>
        <w:gridCol w:w="1395"/>
        <w:gridCol w:w="885"/>
        <w:gridCol w:w="1020"/>
        <w:gridCol w:w="1185"/>
        <w:gridCol w:w="425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  <w:t>专业设置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  <w:t>学制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  <w:t>总学分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  <w:t>招生计划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  <w:t>学费泰铢（约合人民币）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BBA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eastAsia="zh-CN"/>
              </w:rPr>
              <w:t>幼儿教育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4年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60人</w:t>
            </w: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学费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（13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泰铢/年）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29800元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RMB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/年</w:t>
            </w:r>
          </w:p>
          <w:p>
            <w:pPr>
              <w:jc w:val="both"/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国际课程注册管理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费：60000元人民币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（一次性缴纳）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4年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132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60人</w:t>
            </w:r>
          </w:p>
        </w:tc>
        <w:tc>
          <w:tcPr>
            <w:tcW w:w="4252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eastAsia="zh-CN"/>
              </w:rPr>
              <w:t>工商管理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4年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60人</w:t>
            </w:r>
          </w:p>
        </w:tc>
        <w:tc>
          <w:tcPr>
            <w:tcW w:w="4252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eastAsia="zh-CN"/>
              </w:rPr>
              <w:t>教育管理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4年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132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60人</w:t>
            </w:r>
          </w:p>
        </w:tc>
        <w:tc>
          <w:tcPr>
            <w:tcW w:w="4252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4年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132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60人</w:t>
            </w:r>
          </w:p>
        </w:tc>
        <w:tc>
          <w:tcPr>
            <w:tcW w:w="42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3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BBA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eastAsia="zh-CN"/>
              </w:rPr>
              <w:t>国际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4年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30人</w:t>
            </w: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学费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（13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泰铢/年）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29800元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RMB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/年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）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国际课程注册管理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费：60000元人民币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（一次性缴纳）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8" w:hRule="atLeast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eastAsia="zh-CN"/>
              </w:rPr>
              <w:t>传播艺术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4年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30人</w:t>
            </w:r>
          </w:p>
        </w:tc>
        <w:tc>
          <w:tcPr>
            <w:tcW w:w="4252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3" w:hRule="atLeast"/>
        </w:trPr>
        <w:tc>
          <w:tcPr>
            <w:tcW w:w="13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4年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30人</w:t>
            </w:r>
          </w:p>
        </w:tc>
        <w:tc>
          <w:tcPr>
            <w:tcW w:w="42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招生对象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：应往届高中毕业生及同等学历者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学习形式：集中授课；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注册形式：全日制；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入学时间：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1月4月，7月，10月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毕业要求：完成所有课程学习，通过课程考试后，可申请毕业。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报名费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200元人民币； 校内公寓6000-8000元/年/位  校外公寓1200元/月/间左右</w:t>
      </w:r>
    </w:p>
    <w:p>
      <w:pPr>
        <w:pStyle w:val="8"/>
        <w:widowControl/>
        <w:shd w:val="clear" w:color="auto" w:fill="FFFFFF"/>
        <w:spacing w:beforeAutospacing="0" w:afterAutospacing="0" w:line="460" w:lineRule="exact"/>
        <w:jc w:val="both"/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专科起点本硕连读</w:t>
      </w:r>
    </w:p>
    <w:tbl>
      <w:tblPr>
        <w:tblStyle w:val="9"/>
        <w:tblW w:w="901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63"/>
        <w:gridCol w:w="1558"/>
        <w:gridCol w:w="992"/>
        <w:gridCol w:w="499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FCEC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  <w:t>专业设置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FCEC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  <w:t>学制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  <w:t>招生计划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  <w:t>学费泰铢（约合人民币）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4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艺术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30人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学费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170000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泰铢/年）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 xml:space="preserve"> 3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9800元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RMB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/年</w:t>
            </w:r>
          </w:p>
          <w:p>
            <w:pPr>
              <w:jc w:val="both"/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国际课程注册管理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费：60000元人民币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（一次性缴纳）</w:t>
            </w:r>
          </w:p>
          <w:p>
            <w:pPr>
              <w:ind w:firstLine="1680" w:firstLineChars="700"/>
              <w:jc w:val="both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管理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0人</w:t>
            </w:r>
          </w:p>
        </w:tc>
        <w:tc>
          <w:tcPr>
            <w:tcW w:w="49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widowControl/>
        <w:shd w:val="clear" w:color="auto" w:fill="FFFFFF"/>
        <w:spacing w:beforeAutospacing="0" w:afterAutospacing="0" w:line="460" w:lineRule="exact"/>
        <w:jc w:val="both"/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备注：</w:t>
      </w:r>
      <w:r>
        <w:rPr>
          <w:rStyle w:val="12"/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专升本阶段学习结束，成绩合格，学校颁发学士学位证书，硕士阶段学习结束，成绩合格，学校颁发硕士学位证书。</w:t>
      </w:r>
    </w:p>
    <w:p>
      <w:pPr>
        <w:pStyle w:val="8"/>
        <w:widowControl/>
        <w:shd w:val="clear" w:color="auto" w:fill="FFFFFF"/>
        <w:spacing w:beforeAutospacing="0" w:afterAutospacing="0" w:line="460" w:lineRule="exact"/>
        <w:jc w:val="both"/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460" w:lineRule="exact"/>
        <w:jc w:val="both"/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460" w:lineRule="exact"/>
        <w:jc w:val="both"/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硕士：</w:t>
      </w:r>
    </w:p>
    <w:tbl>
      <w:tblPr>
        <w:tblStyle w:val="9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6"/>
        <w:gridCol w:w="1800"/>
        <w:gridCol w:w="975"/>
        <w:gridCol w:w="900"/>
        <w:gridCol w:w="1080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466" w:type="dxa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专业设置</w:t>
            </w:r>
          </w:p>
        </w:tc>
        <w:tc>
          <w:tcPr>
            <w:tcW w:w="1800" w:type="dxa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专业方向</w:t>
            </w:r>
          </w:p>
        </w:tc>
        <w:tc>
          <w:tcPr>
            <w:tcW w:w="975" w:type="dxa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900" w:type="dxa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总学分</w:t>
            </w:r>
          </w:p>
        </w:tc>
        <w:tc>
          <w:tcPr>
            <w:tcW w:w="1080" w:type="dxa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招生计划</w:t>
            </w:r>
          </w:p>
        </w:tc>
        <w:tc>
          <w:tcPr>
            <w:tcW w:w="3685" w:type="dxa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  <w:t>学杂费泰铢（约合人民币）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46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工商管理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管理方向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2年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0人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学费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0000泰铢/年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）</w:t>
            </w:r>
          </w:p>
          <w:p>
            <w:pPr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39800</w:t>
            </w:r>
            <w:bookmarkEnd w:id="0"/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RMB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/年</w:t>
            </w:r>
          </w:p>
          <w:p>
            <w:pPr>
              <w:jc w:val="both"/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国际课程注册管理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费：60000元人民币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（一次性缴纳）</w:t>
            </w:r>
          </w:p>
          <w:p>
            <w:pPr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管理方向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2年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0人</w:t>
            </w:r>
          </w:p>
        </w:tc>
        <w:tc>
          <w:tcPr>
            <w:tcW w:w="368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管理方向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2年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0人</w:t>
            </w:r>
          </w:p>
        </w:tc>
        <w:tc>
          <w:tcPr>
            <w:tcW w:w="368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管理方向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2年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0人</w:t>
            </w:r>
          </w:p>
        </w:tc>
        <w:tc>
          <w:tcPr>
            <w:tcW w:w="368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32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艺术管理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2年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30人</w:t>
            </w:r>
          </w:p>
        </w:tc>
        <w:tc>
          <w:tcPr>
            <w:tcW w:w="368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招生对象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：应往届本科毕业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或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同等学历者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学习形式：脱产或集中授课（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45天/次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）；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注册形式：全日制；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入学时间：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1月，7月，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10月，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报名截止时间：6月和12月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与9月；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毕业要求：完成所有课程学习，通过课程考试，并通过论文答辩，获得毕业学位证书。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报名费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200元人民币； 校内公寓6000-8000元/年/位  校外公寓1200元/月/间左右</w:t>
      </w:r>
    </w:p>
    <w:p>
      <w:pPr>
        <w:pStyle w:val="8"/>
        <w:widowControl/>
        <w:shd w:val="clear" w:color="auto" w:fill="FFFFFF"/>
        <w:spacing w:beforeAutospacing="0" w:afterAutospacing="0" w:line="460" w:lineRule="exact"/>
        <w:jc w:val="both"/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博士</w:t>
      </w:r>
    </w:p>
    <w:tbl>
      <w:tblPr>
        <w:tblStyle w:val="9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4"/>
        <w:gridCol w:w="1193"/>
        <w:gridCol w:w="765"/>
        <w:gridCol w:w="825"/>
        <w:gridCol w:w="1020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174" w:type="dxa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专业设置</w:t>
            </w:r>
          </w:p>
        </w:tc>
        <w:tc>
          <w:tcPr>
            <w:tcW w:w="1193" w:type="dxa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专业方向</w:t>
            </w:r>
          </w:p>
        </w:tc>
        <w:tc>
          <w:tcPr>
            <w:tcW w:w="765" w:type="dxa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825" w:type="dxa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总学分</w:t>
            </w:r>
          </w:p>
        </w:tc>
        <w:tc>
          <w:tcPr>
            <w:tcW w:w="1020" w:type="dxa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招生计划</w:t>
            </w:r>
          </w:p>
        </w:tc>
        <w:tc>
          <w:tcPr>
            <w:tcW w:w="4465" w:type="dxa"/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</w:rPr>
              <w:t>学杂费泰铢（约合人民币）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jc w:val="center"/>
        </w:trPr>
        <w:tc>
          <w:tcPr>
            <w:tcW w:w="117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Ph.D博士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管理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3年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54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  <w:t>15人</w:t>
            </w:r>
          </w:p>
        </w:tc>
        <w:tc>
          <w:tcPr>
            <w:tcW w:w="44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学费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（260000泰铢/年）</w:t>
            </w:r>
          </w:p>
          <w:p>
            <w:pPr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59800元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RMB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/年</w:t>
            </w:r>
          </w:p>
          <w:p>
            <w:pPr>
              <w:jc w:val="both"/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国际课程注册管理</w:t>
            </w:r>
            <w:r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  <w:lang w:val="en-US" w:eastAsia="zh-CN"/>
              </w:rPr>
              <w:t>费：60000元人民币</w:t>
            </w:r>
            <w:r>
              <w:rPr>
                <w:rFonts w:hint="eastAsia" w:ascii="宋体" w:hAnsi="宋体" w:cs="宋体"/>
                <w:color w:val="252525"/>
                <w:kern w:val="0"/>
                <w:sz w:val="24"/>
                <w:szCs w:val="24"/>
                <w:lang w:val="en-US" w:eastAsia="zh-CN"/>
              </w:rPr>
              <w:t>（一次性缴纳）</w:t>
            </w:r>
          </w:p>
          <w:p>
            <w:pPr>
              <w:jc w:val="center"/>
              <w:textAlignment w:val="top"/>
              <w:rPr>
                <w:rFonts w:hint="eastAsia" w:ascii="宋体" w:hAnsi="宋体" w:eastAsia="宋体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jc w:val="center"/>
        </w:trPr>
        <w:tc>
          <w:tcPr>
            <w:tcW w:w="11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教育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5252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52525"/>
                <w:kern w:val="0"/>
                <w:sz w:val="24"/>
                <w:szCs w:val="24"/>
              </w:rPr>
              <w:t>3年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5252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52525"/>
                <w:kern w:val="0"/>
                <w:sz w:val="24"/>
                <w:szCs w:val="24"/>
              </w:rPr>
              <w:t>60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微软雅黑" w:hAnsi="微软雅黑" w:eastAsia="微软雅黑" w:cs="微软雅黑"/>
                <w:color w:val="25252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52525"/>
                <w:kern w:val="0"/>
                <w:sz w:val="24"/>
                <w:szCs w:val="24"/>
              </w:rPr>
              <w:t>15人</w:t>
            </w:r>
          </w:p>
        </w:tc>
        <w:tc>
          <w:tcPr>
            <w:tcW w:w="44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微软雅黑" w:hAnsi="微软雅黑" w:eastAsia="微软雅黑" w:cs="微软雅黑"/>
                <w:color w:val="252525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◎ </w:t>
      </w:r>
    </w:p>
    <w:p>
      <w:pPr>
        <w:spacing w:line="460" w:lineRule="exac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招生对象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：应往届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硕士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毕业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或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同等学历者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学习形式：脱产或集中授课（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60天/次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）；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注册形式：全日制；</w:t>
      </w:r>
    </w:p>
    <w:p>
      <w:pPr>
        <w:spacing w:line="460" w:lineRule="exact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入学时间：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1月，7月，报名截止时间：6月和12月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毕业要求：提交最终版本论文，通过毕业论文答辩，获得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PHD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学位证书</w:t>
      </w:r>
    </w:p>
    <w:p>
      <w:pPr>
        <w:spacing w:line="460" w:lineRule="exac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报名费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200元人民币； 校内公寓6000-8000元/年/位  校外公寓1200元/月/间左右</w:t>
      </w:r>
    </w:p>
    <w:p>
      <w:pPr>
        <w:spacing w:line="460" w:lineRule="exact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spacing w:line="460" w:lineRule="exact"/>
        <w:rPr>
          <w:rFonts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Cs w:val="21"/>
        </w:rPr>
        <w:cr/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 申请入学材料</w:t>
      </w:r>
    </w:p>
    <w:tbl>
      <w:tblPr>
        <w:tblStyle w:val="9"/>
        <w:tblW w:w="99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635"/>
        <w:gridCol w:w="3045"/>
        <w:gridCol w:w="4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5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材料名称</w:t>
            </w:r>
          </w:p>
        </w:tc>
        <w:tc>
          <w:tcPr>
            <w:tcW w:w="3045" w:type="dxa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数量标注</w:t>
            </w:r>
          </w:p>
        </w:tc>
        <w:tc>
          <w:tcPr>
            <w:tcW w:w="4693" w:type="dxa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详细说明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15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spacing w:line="460" w:lineRule="exact"/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入学报名表</w:t>
            </w:r>
          </w:p>
        </w:tc>
        <w:tc>
          <w:tcPr>
            <w:tcW w:w="3045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手写入学报名信息</w:t>
            </w:r>
          </w:p>
        </w:tc>
        <w:tc>
          <w:tcPr>
            <w:tcW w:w="4693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15" w:type="dxa"/>
            <w:tcBorders>
              <w:bottom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bottom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毕业证书公证书</w:t>
            </w:r>
          </w:p>
        </w:tc>
        <w:tc>
          <w:tcPr>
            <w:tcW w:w="3045" w:type="dxa"/>
            <w:tcBorders>
              <w:bottom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毕业证原件扫描件。中英文对照表的公证书2份并扫描。</w:t>
            </w:r>
          </w:p>
        </w:tc>
        <w:tc>
          <w:tcPr>
            <w:tcW w:w="4693" w:type="dxa"/>
            <w:tcBorders>
              <w:bottom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到公证处办理，说是出国留学用，办理时携带本人身份证，如果委托他人办理，请写好委托书并且带上委托人及办理人的身份证原件，一般是一个星期左右的时间。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15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spacing w:line="460" w:lineRule="exact"/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毕业成绩单公证书</w:t>
            </w:r>
          </w:p>
        </w:tc>
        <w:tc>
          <w:tcPr>
            <w:tcW w:w="3045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成绩单原件扫描件。中英文对照的公证书2份并扫描。</w:t>
            </w:r>
          </w:p>
        </w:tc>
        <w:tc>
          <w:tcPr>
            <w:tcW w:w="4693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成绩单在学校教务处打印，并在公证处做公证。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615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spacing w:line="460" w:lineRule="exact"/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无犯罪记录证明公证书</w:t>
            </w:r>
          </w:p>
        </w:tc>
        <w:tc>
          <w:tcPr>
            <w:tcW w:w="3045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无犯罪记录证明中英文对照的公证书1份并扫描。</w:t>
            </w:r>
          </w:p>
        </w:tc>
        <w:tc>
          <w:tcPr>
            <w:tcW w:w="4693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本人持身份证、户口本到户口所在地派出所开具无犯罪记录证明，现场采集指纹，在户口所在地公证处办理公证。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615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spacing w:line="460" w:lineRule="exact"/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护照</w:t>
            </w:r>
          </w:p>
        </w:tc>
        <w:tc>
          <w:tcPr>
            <w:tcW w:w="3045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护照首页扫描件，需300dpi以上的分辨率，清晰可见。已有护照的有效期要在半年以上的因私护照才可以办理签证。</w:t>
            </w:r>
          </w:p>
        </w:tc>
        <w:tc>
          <w:tcPr>
            <w:tcW w:w="4693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护照需要到本人户口所在地的公安局出入境去办理，带着本人户口本，身份证原件，大概需要2-3周左右的时间，办理因私护照即可。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615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spacing w:line="460" w:lineRule="exact"/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3045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2寸白底彩照，清晰的电子版1份，非扫描版。</w:t>
            </w:r>
          </w:p>
        </w:tc>
        <w:tc>
          <w:tcPr>
            <w:tcW w:w="4693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可以在办理护照时带好U盘拷贝。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15" w:type="dxa"/>
            <w:tcBorders>
              <w:bottom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bottom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3045" w:type="dxa"/>
            <w:tcBorders>
              <w:bottom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  <w:t>身份证正背面扫描件</w:t>
            </w:r>
          </w:p>
        </w:tc>
        <w:tc>
          <w:tcPr>
            <w:tcW w:w="4693" w:type="dxa"/>
            <w:tcBorders>
              <w:bottom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hint="eastAsia" w:ascii="微软雅黑" w:hAnsi="微软雅黑" w:eastAsia="微软雅黑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仿宋_GB2312"/>
          <w:b/>
          <w:bCs/>
          <w:color w:val="000000"/>
          <w:sz w:val="32"/>
          <w:szCs w:val="32"/>
          <w:lang w:eastAsia="zh-CN"/>
        </w:rPr>
        <w:t>入学流程：</w:t>
      </w:r>
    </w:p>
    <w:p>
      <w:pPr>
        <w:numPr>
          <w:ilvl w:val="0"/>
          <w:numId w:val="2"/>
        </w:numPr>
        <w:spacing w:line="460" w:lineRule="exact"/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  <w:t>提交报名表，报名费，护照和毕业证复印件提交申请面试；</w:t>
      </w:r>
    </w:p>
    <w:p>
      <w:pPr>
        <w:numPr>
          <w:ilvl w:val="0"/>
          <w:numId w:val="2"/>
        </w:numPr>
        <w:spacing w:line="460" w:lineRule="exact"/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  <w:t>通过面试的申请人可获得师范大学预录取通知书；</w:t>
      </w:r>
    </w:p>
    <w:p>
      <w:pPr>
        <w:numPr>
          <w:ilvl w:val="0"/>
          <w:numId w:val="2"/>
        </w:numPr>
        <w:spacing w:line="460" w:lineRule="exact"/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  <w:t>准备入学申请材料，经审查合格后，获得正式录取通知书；</w:t>
      </w:r>
    </w:p>
    <w:p>
      <w:pPr>
        <w:numPr>
          <w:ilvl w:val="0"/>
          <w:numId w:val="2"/>
        </w:numPr>
        <w:spacing w:line="460" w:lineRule="exact"/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  <w:t>办理留学签证（国内外均可办理）预定赴泰机票，宿舍；</w:t>
      </w:r>
    </w:p>
    <w:p>
      <w:pPr>
        <w:numPr>
          <w:ilvl w:val="0"/>
          <w:numId w:val="2"/>
        </w:numPr>
        <w:spacing w:line="460" w:lineRule="exact"/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  <w:t>缴纳学费，学杂费，住宿费</w:t>
      </w:r>
    </w:p>
    <w:p>
      <w:pPr>
        <w:numPr>
          <w:ilvl w:val="0"/>
          <w:numId w:val="2"/>
        </w:numPr>
        <w:spacing w:line="460" w:lineRule="exact"/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  <w:t>赴泰国皇家师范大学办理入学注册手续和住宿手续，开启留学生活。</w:t>
      </w:r>
    </w:p>
    <w:p>
      <w:pPr>
        <w:numPr>
          <w:ilvl w:val="0"/>
          <w:numId w:val="2"/>
        </w:numPr>
        <w:spacing w:line="460" w:lineRule="exact"/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  <w:t>需要接机的要提前申请报备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  <w:cr/>
      </w:r>
      <w:r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line">
              <wp:posOffset>-226695</wp:posOffset>
            </wp:positionV>
            <wp:extent cx="1257300" cy="1312545"/>
            <wp:effectExtent l="0" t="0" r="0" b="1905"/>
            <wp:wrapSquare wrapText="bothSides"/>
            <wp:docPr id="1073741825" name="officeArt object" descr="E:\国泰盛源\泰国皇家师范大学.png泰国皇家师范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E:\国泰盛源\泰国皇家师范大学.png泰国皇家师范大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12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12"/>
          <w:rFonts w:hint="default" w:ascii="Times New Roman" w:hAnsi="Times New Roman" w:eastAsia="宋体" w:cs="Times New Roman"/>
          <w:b w:val="0"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Rajabhat Rajanagarindra University</w:t>
      </w:r>
    </w:p>
    <w:p>
      <w:pPr>
        <w:spacing w:before="240" w:after="0" w:line="48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5095875</wp:posOffset>
                </wp:positionH>
                <wp:positionV relativeFrom="paragraph">
                  <wp:posOffset>417195</wp:posOffset>
                </wp:positionV>
                <wp:extent cx="1151255" cy="1440180"/>
                <wp:effectExtent l="38735" t="15240" r="48260" b="68580"/>
                <wp:wrapThrough wrapText="bothSides">
                  <wp:wrapPolygon>
                    <wp:start x="-727" y="-229"/>
                    <wp:lineTo x="-727" y="22343"/>
                    <wp:lineTo x="21791" y="22343"/>
                    <wp:lineTo x="21791" y="-229"/>
                    <wp:lineTo x="-727" y="-22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1440180"/>
                        </a:xfrm>
                        <a:prstGeom prst="rect">
                          <a:avLst/>
                        </a:prstGeom>
                        <a:solidFill>
                          <a:srgbClr val="FDFC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33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Photo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o:spt="1" style="position:absolute;left:0pt;margin-left:401.25pt;margin-top:32.85pt;height:113.4pt;width:90.65pt;mso-position-horizontal-relative:margin;mso-wrap-distance-left:12pt;mso-wrap-distance-right:12pt;z-index:251661312;v-text-anchor:middle;mso-width-relative:page;mso-height-relative:page;" fillcolor="#FDFCFF" filled="t" stroked="t" coordsize="21600,21600" wrapcoords="-727 -229 -727 22343 21791 22343 21791 -229 -727 -229" o:gfxdata="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ZGmiG2AAAAAoBAAAPAAAAAAAAAAEA&#10;IAAAACIAAABkcnMvZG93bnJldi54bWxQSwECFAAUAAAACACHTuJAPvyRNUgCAACwBAAADgAAAAAA&#10;AAABACAAAAAnAQAAZHJzL2Uyb0RvYy54bWxQSwUGAAAAAAYABgBZAQAA4QUAAAAA&#10;">
                <v:fill on="t" focussize="0,0"/>
                <v:stroke weight="1pt" color="#4F81BD [3204]" miterlimit="4" joinstyle="miter"/>
                <v:imagedata o:title=""/>
                <o:lock v:ext="edit" aspectratio="f"/>
                <v:shadow on="t" color="#000000" opacity="22937f" offset="0pt,1.81102362204724pt" origin="0f,32768f" matrix="65536f,0f,0f,65536f"/>
                <v:textbox inset="3.59992125984252pt,3.59992125984252pt,3.59992125984252pt,3.59992125984252pt">
                  <w:txbxContent>
                    <w:p>
                      <w:pPr>
                        <w:pStyle w:val="33"/>
                        <w:tabs>
                          <w:tab w:val="left" w:pos="1440"/>
                        </w:tabs>
                        <w:jc w:val="center"/>
                      </w:pPr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Photo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Application Form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Theme="minorEastAsia"/>
          <w:sz w:val="28"/>
          <w:szCs w:val="28"/>
        </w:rPr>
      </w:pPr>
    </w:p>
    <w:p>
      <w:pPr>
        <w:spacing w:after="0" w:line="240" w:lineRule="auto"/>
        <w:rPr>
          <w:rFonts w:hint="eastAsia" w:ascii="Times New Roman" w:hAnsi="Times New Roman" w:eastAsiaTheme="minorEastAsia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Apply for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：</w:t>
      </w:r>
      <w:r>
        <w:rPr>
          <w:rFonts w:ascii="Times New Roman" w:hAnsi="Times New Roman"/>
          <w:sz w:val="24"/>
          <w:szCs w:val="24"/>
        </w:rPr>
        <w:t xml:space="preserve">  ……………….…………………...        </w:t>
      </w:r>
    </w:p>
    <w:p>
      <w:pPr>
        <w:pStyle w:val="31"/>
        <w:spacing w:line="276" w:lineRule="auto"/>
      </w:pPr>
    </w:p>
    <w:p>
      <w:pPr>
        <w:pStyle w:val="31"/>
        <w:spacing w:line="276" w:lineRule="auto"/>
      </w:pPr>
    </w:p>
    <w:p>
      <w:pPr>
        <w:pStyle w:val="31"/>
        <w:spacing w:line="276" w:lineRule="auto"/>
        <w:rPr>
          <w:b/>
          <w:bCs/>
        </w:rPr>
      </w:pPr>
      <w:r>
        <w:rPr>
          <w:b/>
          <w:bCs/>
        </w:rPr>
        <w:t>PERSONAL</w:t>
      </w:r>
      <w:r>
        <w:rPr>
          <w:b/>
          <w:bCs/>
        </w:rPr>
        <w:tab/>
      </w:r>
      <w:r>
        <w:rPr>
          <w:b/>
          <w:bCs/>
        </w:rPr>
        <w:t>INFORMATION</w:t>
      </w:r>
    </w:p>
    <w:p>
      <w:pPr>
        <w:pStyle w:val="31"/>
        <w:spacing w:line="276" w:lineRule="auto"/>
        <w:rPr>
          <w:b/>
          <w:bCs/>
          <w:sz w:val="18"/>
          <w:szCs w:val="18"/>
        </w:rPr>
      </w:pPr>
    </w:p>
    <w:p>
      <w:pPr>
        <w:pStyle w:val="31"/>
        <w:spacing w:line="276" w:lineRule="auto"/>
      </w:pPr>
      <w:r>
        <w:rPr>
          <w:i/>
          <w:iCs/>
        </w:rPr>
        <w:t>Title</w:t>
      </w:r>
      <w:r>
        <w:t xml:space="preserve">:      </w:t>
      </w:r>
      <w:r>
        <w:drawing>
          <wp:inline distT="0" distB="0" distL="0" distR="0">
            <wp:extent cx="170815" cy="146050"/>
            <wp:effectExtent l="0" t="0" r="635" b="6350"/>
            <wp:docPr id="1073741827" name="officeArt object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Mr.</w:t>
      </w:r>
      <w:r>
        <w:tab/>
      </w:r>
      <w:r>
        <w:drawing>
          <wp:inline distT="0" distB="0" distL="0" distR="0">
            <wp:extent cx="170815" cy="146050"/>
            <wp:effectExtent l="0" t="0" r="635" b="6350"/>
            <wp:docPr id="1073741828" name="officeArt object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Miss</w:t>
      </w:r>
      <w:r>
        <w:tab/>
      </w:r>
      <w:r>
        <w:drawing>
          <wp:inline distT="0" distB="0" distL="0" distR="0">
            <wp:extent cx="170815" cy="146050"/>
            <wp:effectExtent l="0" t="0" r="635" b="6350"/>
            <wp:docPr id="1073741829" name="officeArt object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Mrs.</w:t>
      </w:r>
      <w:r>
        <w:tab/>
      </w:r>
      <w:r>
        <w:drawing>
          <wp:inline distT="0" distB="0" distL="0" distR="0">
            <wp:extent cx="170815" cy="146050"/>
            <wp:effectExtent l="0" t="0" r="635" b="6350"/>
            <wp:docPr id="3" name="officeArt object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Others ……………….……</w:t>
      </w:r>
    </w:p>
    <w:p>
      <w:pPr>
        <w:pStyle w:val="31"/>
        <w:spacing w:line="276" w:lineRule="auto"/>
      </w:pPr>
    </w:p>
    <w:p>
      <w:pPr>
        <w:pStyle w:val="31"/>
        <w:spacing w:line="276" w:lineRule="auto"/>
      </w:pPr>
      <w:r>
        <w:rPr>
          <w:i/>
          <w:iCs/>
        </w:rPr>
        <w:t>First Name</w:t>
      </w:r>
      <w:r>
        <w:t xml:space="preserve">: ………………….……...…...….. </w:t>
      </w:r>
      <w:r>
        <w:rPr>
          <w:i/>
          <w:iCs/>
        </w:rPr>
        <w:t>Last Name</w:t>
      </w:r>
      <w:r>
        <w:t>: ….……….……..…..……….…….…...</w:t>
      </w:r>
    </w:p>
    <w:p>
      <w:pPr>
        <w:pStyle w:val="31"/>
        <w:spacing w:line="276" w:lineRule="auto"/>
      </w:pPr>
    </w:p>
    <w:p>
      <w:pPr>
        <w:pStyle w:val="31"/>
        <w:spacing w:line="276" w:lineRule="auto"/>
      </w:pPr>
      <w:r>
        <w:rPr>
          <w:i/>
          <w:iCs/>
        </w:rPr>
        <w:t>Gender</w:t>
      </w:r>
      <w:r>
        <w:t xml:space="preserve">:   </w:t>
      </w:r>
      <w:r>
        <w:drawing>
          <wp:inline distT="0" distB="0" distL="0" distR="0">
            <wp:extent cx="170815" cy="146050"/>
            <wp:effectExtent l="0" t="0" r="635" b="6350"/>
            <wp:docPr id="2" name="officeArt object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Male       </w:t>
      </w:r>
      <w:r>
        <w:drawing>
          <wp:inline distT="0" distB="0" distL="0" distR="0">
            <wp:extent cx="170815" cy="146050"/>
            <wp:effectExtent l="0" t="0" r="635" b="6350"/>
            <wp:docPr id="4" name="officeArt object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Female      Age: ………...</w:t>
      </w:r>
      <w:r>
        <w:rPr>
          <w:i/>
          <w:iCs/>
        </w:rPr>
        <w:t xml:space="preserve"> Birth date</w:t>
      </w:r>
      <w:r>
        <w:t>: …….…./….…....…../………</w:t>
      </w:r>
    </w:p>
    <w:p>
      <w:pPr>
        <w:pStyle w:val="31"/>
        <w:spacing w:line="276" w:lineRule="auto"/>
      </w:pPr>
    </w:p>
    <w:p>
      <w:pPr>
        <w:pStyle w:val="31"/>
        <w:spacing w:line="276" w:lineRule="auto"/>
      </w:pPr>
      <w:r>
        <w:rPr>
          <w:i/>
          <w:iCs/>
        </w:rPr>
        <w:t>Nationality</w:t>
      </w:r>
      <w:r>
        <w:t>: …..….…..….…..….…..……..………</w:t>
      </w:r>
      <w:r>
        <w:tab/>
      </w:r>
      <w:r>
        <w:rPr>
          <w:i/>
          <w:iCs/>
        </w:rPr>
        <w:t>Religion</w:t>
      </w:r>
      <w:r>
        <w:t>: …..….…..….…..….…..……...…...</w:t>
      </w:r>
    </w:p>
    <w:p>
      <w:pPr>
        <w:pStyle w:val="31"/>
        <w:spacing w:line="276" w:lineRule="auto"/>
      </w:pPr>
    </w:p>
    <w:p>
      <w:pPr>
        <w:pStyle w:val="31"/>
        <w:spacing w:line="276" w:lineRule="auto"/>
      </w:pPr>
      <w:r>
        <w:rPr>
          <w:i/>
          <w:iCs/>
        </w:rPr>
        <w:t>Current Address</w:t>
      </w:r>
      <w:r>
        <w:t>: ……………………………………………………………………………………</w:t>
      </w:r>
    </w:p>
    <w:p>
      <w:pPr>
        <w:pStyle w:val="31"/>
        <w:spacing w:line="276" w:lineRule="auto"/>
      </w:pPr>
    </w:p>
    <w:p>
      <w:pPr>
        <w:pStyle w:val="31"/>
        <w:spacing w:line="276" w:lineRule="auto"/>
      </w:pPr>
      <w:r>
        <w:t>…………………………………………………………………………………….……………...…</w:t>
      </w:r>
    </w:p>
    <w:p>
      <w:pPr>
        <w:pStyle w:val="31"/>
        <w:spacing w:line="276" w:lineRule="auto"/>
      </w:pPr>
    </w:p>
    <w:p>
      <w:pPr>
        <w:pStyle w:val="31"/>
        <w:spacing w:line="276" w:lineRule="auto"/>
      </w:pPr>
      <w:r>
        <w:rPr>
          <w:i/>
          <w:iCs/>
        </w:rPr>
        <w:t>E-mail Address</w:t>
      </w:r>
      <w:r>
        <w:t xml:space="preserve">: ………………….…….……….…….  </w:t>
      </w:r>
      <w:r>
        <w:rPr>
          <w:i/>
          <w:iCs/>
        </w:rPr>
        <w:t>Telephone</w:t>
      </w:r>
      <w:r>
        <w:t>: ……………….………...…….</w:t>
      </w:r>
    </w:p>
    <w:p>
      <w:pPr>
        <w:pStyle w:val="31"/>
        <w:spacing w:line="276" w:lineRule="auto"/>
      </w:pPr>
    </w:p>
    <w:p>
      <w:pPr>
        <w:pStyle w:val="31"/>
        <w:spacing w:line="276" w:lineRule="auto"/>
      </w:pPr>
      <w:r>
        <w:rPr>
          <w:i/>
          <w:iCs/>
        </w:rPr>
        <w:t>Marital Status:</w:t>
      </w:r>
      <w:r>
        <w:t xml:space="preserve">  </w:t>
      </w:r>
      <w:r>
        <w:drawing>
          <wp:inline distT="0" distB="0" distL="0" distR="0">
            <wp:extent cx="170815" cy="146050"/>
            <wp:effectExtent l="0" t="0" r="635" b="6350"/>
            <wp:docPr id="5" name="officeArt object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Single   </w:t>
      </w:r>
      <w:r>
        <w:drawing>
          <wp:inline distT="0" distB="0" distL="0" distR="0">
            <wp:extent cx="170815" cy="146050"/>
            <wp:effectExtent l="0" t="0" r="635" b="6350"/>
            <wp:docPr id="6" name="officeArt object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Art object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Married   </w:t>
      </w:r>
      <w:r>
        <w:drawing>
          <wp:inline distT="0" distB="0" distL="0" distR="0">
            <wp:extent cx="170815" cy="146050"/>
            <wp:effectExtent l="0" t="0" r="635" b="6350"/>
            <wp:docPr id="7" name="officeArt object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eArt object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Divorced/Separated  </w:t>
      </w:r>
      <w:r>
        <w:drawing>
          <wp:inline distT="0" distB="0" distL="0" distR="0">
            <wp:extent cx="170815" cy="146050"/>
            <wp:effectExtent l="0" t="0" r="635" b="6350"/>
            <wp:docPr id="8" name="officeArt object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ficeArt object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Other……………...</w:t>
      </w:r>
    </w:p>
    <w:p>
      <w:pPr>
        <w:pStyle w:val="31"/>
        <w:spacing w:line="276" w:lineRule="auto"/>
      </w:pPr>
    </w:p>
    <w:p>
      <w:pPr>
        <w:pStyle w:val="31"/>
        <w:spacing w:line="276" w:lineRule="auto"/>
      </w:pPr>
      <w:r>
        <w:rPr>
          <w:i/>
          <w:iCs/>
        </w:rPr>
        <w:t>Contact Person in Case of Emergency</w:t>
      </w:r>
      <w:r>
        <w:t>: …………………………………………………………….</w:t>
      </w:r>
    </w:p>
    <w:p>
      <w:pPr>
        <w:pStyle w:val="31"/>
        <w:spacing w:line="276" w:lineRule="auto"/>
      </w:pPr>
    </w:p>
    <w:p>
      <w:pPr>
        <w:pStyle w:val="31"/>
        <w:spacing w:line="276" w:lineRule="auto"/>
      </w:pPr>
      <w:r>
        <w:rPr>
          <w:i/>
          <w:iCs/>
        </w:rPr>
        <w:t>E-mail Address</w:t>
      </w:r>
      <w:r>
        <w:t xml:space="preserve">: ………………….…….……….…….  </w:t>
      </w:r>
      <w:r>
        <w:rPr>
          <w:i/>
          <w:iCs/>
        </w:rPr>
        <w:t>Telephone</w:t>
      </w:r>
      <w:r>
        <w:t>: ……………….………...…….</w:t>
      </w:r>
    </w:p>
    <w:p>
      <w:pPr>
        <w:pStyle w:val="31"/>
        <w:spacing w:line="276" w:lineRule="auto"/>
        <w:rPr>
          <w:sz w:val="18"/>
          <w:szCs w:val="18"/>
        </w:rPr>
      </w:pPr>
    </w:p>
    <w:p>
      <w:pPr>
        <w:pStyle w:val="31"/>
        <w:spacing w:line="276" w:lineRule="auto"/>
        <w:rPr>
          <w:b/>
          <w:bCs/>
        </w:rPr>
      </w:pPr>
      <w:r>
        <w:rPr>
          <w:b/>
          <w:bCs/>
        </w:rPr>
        <w:t>ACADEMIC  INFORMATION</w:t>
      </w:r>
    </w:p>
    <w:p>
      <w:pPr>
        <w:pStyle w:val="31"/>
        <w:spacing w:line="276" w:lineRule="auto"/>
        <w:rPr>
          <w:b/>
          <w:bCs/>
        </w:rPr>
      </w:pPr>
    </w:p>
    <w:tbl>
      <w:tblPr>
        <w:tblStyle w:val="32"/>
        <w:tblW w:w="978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9"/>
        <w:gridCol w:w="2271"/>
        <w:gridCol w:w="1276"/>
        <w:gridCol w:w="2268"/>
        <w:gridCol w:w="99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Graduation School 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1"/>
              <w:spacing w:line="276" w:lineRule="auto"/>
              <w:jc w:val="center"/>
            </w:pPr>
            <w:r>
              <w:rPr>
                <w:i/>
                <w:iCs/>
              </w:rPr>
              <w:t>Degree/Diploma/Certificate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1"/>
              <w:spacing w:line="276" w:lineRule="auto"/>
              <w:jc w:val="center"/>
            </w:pPr>
            <w:r>
              <w:rPr>
                <w:i/>
                <w:iCs/>
              </w:rPr>
              <w:t>Field of Study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1"/>
              <w:spacing w:line="276" w:lineRule="auto"/>
              <w:jc w:val="center"/>
            </w:pPr>
            <w:r>
              <w:rPr>
                <w:i/>
                <w:iCs/>
              </w:rPr>
              <w:t>Graduation (</w:t>
            </w:r>
            <w:r>
              <w:rPr>
                <w:i/>
                <w:iCs/>
                <w:sz w:val="22"/>
                <w:szCs w:val="22"/>
              </w:rPr>
              <w:t>Date/Month/Year</w:t>
            </w:r>
            <w:r>
              <w:rPr>
                <w:i/>
                <w:iCs/>
              </w:rPr>
              <w:t>)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1"/>
              <w:spacing w:line="276" w:lineRule="auto"/>
              <w:jc w:val="center"/>
            </w:pPr>
            <w:r>
              <w:rPr>
                <w:i/>
                <w:iCs/>
              </w:rPr>
              <w:t>GPA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31"/>
        <w:widowControl w:val="0"/>
        <w:jc w:val="center"/>
        <w:rPr>
          <w:rFonts w:eastAsiaTheme="minorEastAsia"/>
          <w:b/>
          <w:bCs/>
        </w:rPr>
      </w:pPr>
    </w:p>
    <w:p>
      <w:pPr>
        <w:pStyle w:val="31"/>
        <w:spacing w:line="276" w:lineRule="auto"/>
        <w:rPr>
          <w:b/>
          <w:bCs/>
        </w:rPr>
      </w:pPr>
      <w:r>
        <w:rPr>
          <w:b/>
          <w:bCs/>
        </w:rPr>
        <w:t>WORK  EXPERIENCE</w:t>
      </w:r>
    </w:p>
    <w:p>
      <w:pPr>
        <w:pStyle w:val="31"/>
        <w:spacing w:line="276" w:lineRule="auto"/>
        <w:rPr>
          <w:b/>
          <w:bCs/>
        </w:rPr>
      </w:pPr>
    </w:p>
    <w:tbl>
      <w:tblPr>
        <w:tblStyle w:val="32"/>
        <w:tblW w:w="920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4"/>
        <w:gridCol w:w="2245"/>
        <w:gridCol w:w="1733"/>
        <w:gridCol w:w="179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1"/>
              <w:spacing w:line="276" w:lineRule="auto"/>
              <w:jc w:val="center"/>
            </w:pPr>
            <w:r>
              <w:rPr>
                <w:i/>
                <w:iCs/>
              </w:rPr>
              <w:t>Employer’s Name and Address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1"/>
              <w:spacing w:line="276" w:lineRule="auto"/>
              <w:jc w:val="center"/>
            </w:pPr>
            <w:r>
              <w:rPr>
                <w:i/>
                <w:iCs/>
              </w:rPr>
              <w:t>Job Title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1"/>
              <w:spacing w:line="276" w:lineRule="auto"/>
              <w:jc w:val="center"/>
            </w:pPr>
            <w:r>
              <w:rPr>
                <w:i/>
                <w:iCs/>
              </w:rPr>
              <w:t>From (</w:t>
            </w:r>
            <w:r>
              <w:rPr>
                <w:i/>
                <w:iCs/>
                <w:sz w:val="18"/>
                <w:szCs w:val="18"/>
              </w:rPr>
              <w:t>Date/Month/Year</w:t>
            </w:r>
            <w:r>
              <w:rPr>
                <w:i/>
                <w:iCs/>
              </w:rPr>
              <w:t>)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1"/>
              <w:spacing w:line="276" w:lineRule="auto"/>
              <w:jc w:val="center"/>
            </w:pPr>
            <w:r>
              <w:rPr>
                <w:i/>
                <w:iCs/>
              </w:rPr>
              <w:t>To (</w:t>
            </w:r>
            <w:r>
              <w:rPr>
                <w:i/>
                <w:iCs/>
                <w:sz w:val="18"/>
                <w:szCs w:val="18"/>
              </w:rPr>
              <w:t>Date/Month/Year</w:t>
            </w:r>
            <w:r>
              <w:rPr>
                <w:i/>
                <w:iCs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31"/>
        <w:widowControl w:val="0"/>
        <w:jc w:val="center"/>
        <w:rPr>
          <w:b/>
          <w:bCs/>
        </w:rPr>
      </w:pPr>
    </w:p>
    <w:p>
      <w:pPr>
        <w:pStyle w:val="31"/>
        <w:spacing w:line="276" w:lineRule="auto"/>
      </w:pPr>
    </w:p>
    <w:p>
      <w:pPr>
        <w:spacing w:after="0"/>
        <w:rPr>
          <w:rFonts w:ascii="Times New Roman" w:hAnsi="Times New Roman" w:eastAsia="Times New Roman" w:cs="Times New Roman"/>
        </w:rPr>
      </w:pPr>
    </w:p>
    <w:p>
      <w:pPr>
        <w:spacing w:after="0"/>
        <w:rPr>
          <w:rFonts w:ascii="Times New Roman" w:hAnsi="Times New Roman" w:eastAsia="Times New Roman" w:cs="Times New Roman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216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………………………….. Date…………………….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31"/>
        <w:spacing w:line="276" w:lineRule="auto"/>
      </w:pPr>
    </w:p>
    <w:p/>
    <w:p>
      <w:pPr>
        <w:numPr>
          <w:ilvl w:val="0"/>
          <w:numId w:val="0"/>
        </w:numPr>
        <w:spacing w:line="460" w:lineRule="exact"/>
      </w:pPr>
    </w:p>
    <w:p>
      <w:pPr>
        <w:numPr>
          <w:ilvl w:val="0"/>
          <w:numId w:val="0"/>
        </w:numPr>
        <w:spacing w:line="460" w:lineRule="exact"/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60" w:lineRule="exact"/>
        <w:jc w:val="both"/>
        <w:rPr>
          <w:rFonts w:hint="eastAsia" w:ascii="微软雅黑" w:hAnsi="微软雅黑" w:eastAsia="微软雅黑" w:cs="仿宋_GB2312"/>
          <w:color w:val="000000"/>
          <w:sz w:val="24"/>
          <w:szCs w:val="24"/>
          <w:lang w:val="en-US" w:eastAsia="zh-CN"/>
        </w:rPr>
      </w:pPr>
    </w:p>
    <w:sectPr>
      <w:pgSz w:w="11906" w:h="16838"/>
      <w:pgMar w:top="1134" w:right="1286" w:bottom="1134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dobe Gothic Std B">
    <w:altName w:val="MS UI Gothic"/>
    <w:panose1 w:val="020B0800000000000000"/>
    <w:charset w:val="80"/>
    <w:family w:val="swiss"/>
    <w:pitch w:val="default"/>
    <w:sig w:usb0="00000000" w:usb1="00000000" w:usb2="00000010" w:usb3="00000000" w:csb0="602A0005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1F00FF" w:csb1="FFFF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8AF1F1"/>
    <w:multiLevelType w:val="singleLevel"/>
    <w:tmpl w:val="E78AF1F1"/>
    <w:lvl w:ilvl="0" w:tentative="0">
      <w:start w:val="1"/>
      <w:numFmt w:val="decimal"/>
      <w:suff w:val="nothing"/>
      <w:lvlText w:val="%1，"/>
      <w:lvlJc w:val="left"/>
    </w:lvl>
  </w:abstractNum>
  <w:abstractNum w:abstractNumId="1">
    <w:nsid w:val="2D038848"/>
    <w:multiLevelType w:val="singleLevel"/>
    <w:tmpl w:val="2D038848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CB4E93"/>
    <w:rsid w:val="00056A26"/>
    <w:rsid w:val="00060236"/>
    <w:rsid w:val="00062CB0"/>
    <w:rsid w:val="0006587A"/>
    <w:rsid w:val="00096E0C"/>
    <w:rsid w:val="000A2CED"/>
    <w:rsid w:val="000A528A"/>
    <w:rsid w:val="000A6264"/>
    <w:rsid w:val="000B0B44"/>
    <w:rsid w:val="000B67E3"/>
    <w:rsid w:val="000D2EF3"/>
    <w:rsid w:val="000D322A"/>
    <w:rsid w:val="00111585"/>
    <w:rsid w:val="001329D1"/>
    <w:rsid w:val="001343BF"/>
    <w:rsid w:val="00143FB0"/>
    <w:rsid w:val="00165C83"/>
    <w:rsid w:val="001768EC"/>
    <w:rsid w:val="00187300"/>
    <w:rsid w:val="00191DA3"/>
    <w:rsid w:val="00192891"/>
    <w:rsid w:val="001B7B23"/>
    <w:rsid w:val="001D73BF"/>
    <w:rsid w:val="001E2273"/>
    <w:rsid w:val="001E538F"/>
    <w:rsid w:val="002047BE"/>
    <w:rsid w:val="002314BF"/>
    <w:rsid w:val="002418C8"/>
    <w:rsid w:val="002515AE"/>
    <w:rsid w:val="00253E8E"/>
    <w:rsid w:val="002540BC"/>
    <w:rsid w:val="00255037"/>
    <w:rsid w:val="00291B09"/>
    <w:rsid w:val="002B2015"/>
    <w:rsid w:val="002D450F"/>
    <w:rsid w:val="002D4B70"/>
    <w:rsid w:val="002D5A5C"/>
    <w:rsid w:val="002E18F5"/>
    <w:rsid w:val="002E7250"/>
    <w:rsid w:val="002F21D3"/>
    <w:rsid w:val="00300B72"/>
    <w:rsid w:val="00315685"/>
    <w:rsid w:val="0032136B"/>
    <w:rsid w:val="003216E3"/>
    <w:rsid w:val="00333C9A"/>
    <w:rsid w:val="00335D66"/>
    <w:rsid w:val="00335FA4"/>
    <w:rsid w:val="003360E6"/>
    <w:rsid w:val="0034483E"/>
    <w:rsid w:val="00350B30"/>
    <w:rsid w:val="003530D8"/>
    <w:rsid w:val="0035504C"/>
    <w:rsid w:val="00370F1D"/>
    <w:rsid w:val="003A5B4F"/>
    <w:rsid w:val="003B0EC6"/>
    <w:rsid w:val="003C663A"/>
    <w:rsid w:val="003E1E23"/>
    <w:rsid w:val="00416F3B"/>
    <w:rsid w:val="00427F13"/>
    <w:rsid w:val="00441FAE"/>
    <w:rsid w:val="0044596F"/>
    <w:rsid w:val="004665A8"/>
    <w:rsid w:val="00471C7F"/>
    <w:rsid w:val="004755C1"/>
    <w:rsid w:val="00491A5C"/>
    <w:rsid w:val="004A627D"/>
    <w:rsid w:val="004A6378"/>
    <w:rsid w:val="004B3175"/>
    <w:rsid w:val="004B3780"/>
    <w:rsid w:val="004C512B"/>
    <w:rsid w:val="004C7498"/>
    <w:rsid w:val="004C7918"/>
    <w:rsid w:val="004F589E"/>
    <w:rsid w:val="0051200F"/>
    <w:rsid w:val="00514010"/>
    <w:rsid w:val="00515C2D"/>
    <w:rsid w:val="005165C6"/>
    <w:rsid w:val="005322CB"/>
    <w:rsid w:val="00535E0E"/>
    <w:rsid w:val="00536332"/>
    <w:rsid w:val="0054523C"/>
    <w:rsid w:val="00555646"/>
    <w:rsid w:val="00562232"/>
    <w:rsid w:val="00565F3C"/>
    <w:rsid w:val="005757C9"/>
    <w:rsid w:val="00580022"/>
    <w:rsid w:val="00586C8C"/>
    <w:rsid w:val="00591A78"/>
    <w:rsid w:val="00592506"/>
    <w:rsid w:val="00597461"/>
    <w:rsid w:val="005A0902"/>
    <w:rsid w:val="005B02F8"/>
    <w:rsid w:val="005B201B"/>
    <w:rsid w:val="005B6ABF"/>
    <w:rsid w:val="005B6FD3"/>
    <w:rsid w:val="005C0FAC"/>
    <w:rsid w:val="005D2807"/>
    <w:rsid w:val="005D7D88"/>
    <w:rsid w:val="005E1047"/>
    <w:rsid w:val="005E3DE4"/>
    <w:rsid w:val="00611266"/>
    <w:rsid w:val="00634C2F"/>
    <w:rsid w:val="00644F26"/>
    <w:rsid w:val="00650AEF"/>
    <w:rsid w:val="00652010"/>
    <w:rsid w:val="006569C2"/>
    <w:rsid w:val="00660E3E"/>
    <w:rsid w:val="00662100"/>
    <w:rsid w:val="00662835"/>
    <w:rsid w:val="00670070"/>
    <w:rsid w:val="0067331E"/>
    <w:rsid w:val="0069364B"/>
    <w:rsid w:val="00694036"/>
    <w:rsid w:val="006B4F14"/>
    <w:rsid w:val="006C0B2F"/>
    <w:rsid w:val="006D39B8"/>
    <w:rsid w:val="00707A08"/>
    <w:rsid w:val="007217D9"/>
    <w:rsid w:val="007274EE"/>
    <w:rsid w:val="007472C2"/>
    <w:rsid w:val="00752BDA"/>
    <w:rsid w:val="00764413"/>
    <w:rsid w:val="0077008E"/>
    <w:rsid w:val="007806D2"/>
    <w:rsid w:val="007C167A"/>
    <w:rsid w:val="007C583D"/>
    <w:rsid w:val="007D28EB"/>
    <w:rsid w:val="007E23E6"/>
    <w:rsid w:val="007E4143"/>
    <w:rsid w:val="007F5A8D"/>
    <w:rsid w:val="007F6EAD"/>
    <w:rsid w:val="00802838"/>
    <w:rsid w:val="00803B6F"/>
    <w:rsid w:val="0081370A"/>
    <w:rsid w:val="00816023"/>
    <w:rsid w:val="00825641"/>
    <w:rsid w:val="00833216"/>
    <w:rsid w:val="00834B00"/>
    <w:rsid w:val="0084400D"/>
    <w:rsid w:val="00874A15"/>
    <w:rsid w:val="00885E23"/>
    <w:rsid w:val="008907FE"/>
    <w:rsid w:val="00890BAC"/>
    <w:rsid w:val="00897F58"/>
    <w:rsid w:val="008A51D6"/>
    <w:rsid w:val="008B0960"/>
    <w:rsid w:val="008B0A57"/>
    <w:rsid w:val="008B6E5A"/>
    <w:rsid w:val="008D174E"/>
    <w:rsid w:val="008E1914"/>
    <w:rsid w:val="009002E3"/>
    <w:rsid w:val="009021D0"/>
    <w:rsid w:val="00917005"/>
    <w:rsid w:val="0092548D"/>
    <w:rsid w:val="00932295"/>
    <w:rsid w:val="0093504C"/>
    <w:rsid w:val="009404EF"/>
    <w:rsid w:val="00960D09"/>
    <w:rsid w:val="00965F44"/>
    <w:rsid w:val="00973C76"/>
    <w:rsid w:val="00980AEC"/>
    <w:rsid w:val="009B05B8"/>
    <w:rsid w:val="009B35F7"/>
    <w:rsid w:val="009C6CFA"/>
    <w:rsid w:val="009D6D9E"/>
    <w:rsid w:val="009E1914"/>
    <w:rsid w:val="009F21C5"/>
    <w:rsid w:val="00A070FF"/>
    <w:rsid w:val="00A26609"/>
    <w:rsid w:val="00A30987"/>
    <w:rsid w:val="00A447E6"/>
    <w:rsid w:val="00A54B53"/>
    <w:rsid w:val="00AA0DA3"/>
    <w:rsid w:val="00AA2474"/>
    <w:rsid w:val="00AA303B"/>
    <w:rsid w:val="00AA4109"/>
    <w:rsid w:val="00AB5D4F"/>
    <w:rsid w:val="00AD620D"/>
    <w:rsid w:val="00AE2923"/>
    <w:rsid w:val="00AE7356"/>
    <w:rsid w:val="00AF55E9"/>
    <w:rsid w:val="00AF5E2D"/>
    <w:rsid w:val="00AF665F"/>
    <w:rsid w:val="00B005FC"/>
    <w:rsid w:val="00B07275"/>
    <w:rsid w:val="00B07B9F"/>
    <w:rsid w:val="00B2359F"/>
    <w:rsid w:val="00B345F0"/>
    <w:rsid w:val="00B62690"/>
    <w:rsid w:val="00B741A4"/>
    <w:rsid w:val="00B74265"/>
    <w:rsid w:val="00B764C4"/>
    <w:rsid w:val="00B84E48"/>
    <w:rsid w:val="00B90C1B"/>
    <w:rsid w:val="00BA156C"/>
    <w:rsid w:val="00BA1C97"/>
    <w:rsid w:val="00BA45FB"/>
    <w:rsid w:val="00BC5DAA"/>
    <w:rsid w:val="00BE2FBE"/>
    <w:rsid w:val="00BE3DB5"/>
    <w:rsid w:val="00BF092B"/>
    <w:rsid w:val="00C17CD0"/>
    <w:rsid w:val="00C21BD7"/>
    <w:rsid w:val="00C24297"/>
    <w:rsid w:val="00C26937"/>
    <w:rsid w:val="00C53548"/>
    <w:rsid w:val="00C740EB"/>
    <w:rsid w:val="00C80650"/>
    <w:rsid w:val="00C85F52"/>
    <w:rsid w:val="00C96DC2"/>
    <w:rsid w:val="00CE30C0"/>
    <w:rsid w:val="00CE4B46"/>
    <w:rsid w:val="00D03764"/>
    <w:rsid w:val="00D100F4"/>
    <w:rsid w:val="00D17A0E"/>
    <w:rsid w:val="00D260CE"/>
    <w:rsid w:val="00D506BB"/>
    <w:rsid w:val="00D53415"/>
    <w:rsid w:val="00D62759"/>
    <w:rsid w:val="00D64B25"/>
    <w:rsid w:val="00D75877"/>
    <w:rsid w:val="00D817B4"/>
    <w:rsid w:val="00D87C32"/>
    <w:rsid w:val="00D9440E"/>
    <w:rsid w:val="00D94E66"/>
    <w:rsid w:val="00DA7280"/>
    <w:rsid w:val="00DB2932"/>
    <w:rsid w:val="00DC0B2F"/>
    <w:rsid w:val="00DC4DA4"/>
    <w:rsid w:val="00DF5030"/>
    <w:rsid w:val="00E14198"/>
    <w:rsid w:val="00E27FD5"/>
    <w:rsid w:val="00E61E7A"/>
    <w:rsid w:val="00E62F80"/>
    <w:rsid w:val="00E957BA"/>
    <w:rsid w:val="00E977C7"/>
    <w:rsid w:val="00EB0D00"/>
    <w:rsid w:val="00EB6FCD"/>
    <w:rsid w:val="00EB779E"/>
    <w:rsid w:val="00ED187C"/>
    <w:rsid w:val="00EF4B91"/>
    <w:rsid w:val="00F02AAE"/>
    <w:rsid w:val="00F10855"/>
    <w:rsid w:val="00F16893"/>
    <w:rsid w:val="00F429D5"/>
    <w:rsid w:val="00F542A3"/>
    <w:rsid w:val="00F66645"/>
    <w:rsid w:val="00F86738"/>
    <w:rsid w:val="00FC4F1D"/>
    <w:rsid w:val="038236E3"/>
    <w:rsid w:val="038C0C0C"/>
    <w:rsid w:val="04012064"/>
    <w:rsid w:val="0523729D"/>
    <w:rsid w:val="05CB1271"/>
    <w:rsid w:val="05F6221A"/>
    <w:rsid w:val="111207E4"/>
    <w:rsid w:val="13D52FB9"/>
    <w:rsid w:val="192112A6"/>
    <w:rsid w:val="1DE041D7"/>
    <w:rsid w:val="1DE83454"/>
    <w:rsid w:val="1F2635D7"/>
    <w:rsid w:val="2158000D"/>
    <w:rsid w:val="256E39C3"/>
    <w:rsid w:val="297D4A8A"/>
    <w:rsid w:val="2CAD53A3"/>
    <w:rsid w:val="306C7A98"/>
    <w:rsid w:val="3388466D"/>
    <w:rsid w:val="363844C7"/>
    <w:rsid w:val="37090B4A"/>
    <w:rsid w:val="3A0C46DE"/>
    <w:rsid w:val="41CB4E93"/>
    <w:rsid w:val="43021A04"/>
    <w:rsid w:val="496120DF"/>
    <w:rsid w:val="4AE329DD"/>
    <w:rsid w:val="52247B96"/>
    <w:rsid w:val="5255796B"/>
    <w:rsid w:val="54167299"/>
    <w:rsid w:val="55D03307"/>
    <w:rsid w:val="57ED63DA"/>
    <w:rsid w:val="58EA1796"/>
    <w:rsid w:val="5BAA3010"/>
    <w:rsid w:val="5C5A213F"/>
    <w:rsid w:val="5EF2338D"/>
    <w:rsid w:val="606823BA"/>
    <w:rsid w:val="627032B6"/>
    <w:rsid w:val="634A378F"/>
    <w:rsid w:val="67982E6B"/>
    <w:rsid w:val="6CA505A3"/>
    <w:rsid w:val="6E6277EC"/>
    <w:rsid w:val="6FAB2C69"/>
    <w:rsid w:val="720C07F4"/>
    <w:rsid w:val="74D618E8"/>
    <w:rsid w:val="76C15C8A"/>
    <w:rsid w:val="7702170F"/>
    <w:rsid w:val="773A246E"/>
    <w:rsid w:val="7DA45ADE"/>
    <w:rsid w:val="7DE4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  <w:rPr>
      <w:color w:val="2852D1"/>
      <w:u w:val="singl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character" w:customStyle="1" w:styleId="16">
    <w:name w:val="页眉 字符"/>
    <w:basedOn w:val="11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框文本 字符"/>
    <w:basedOn w:val="11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font11"/>
    <w:basedOn w:val="11"/>
    <w:qFormat/>
    <w:uiPriority w:val="0"/>
    <w:rPr>
      <w:rFonts w:hint="eastAsia" w:ascii="宋体" w:hAnsi="宋体" w:eastAsia="宋体"/>
      <w:color w:val="252525"/>
      <w:sz w:val="18"/>
      <w:szCs w:val="18"/>
      <w:u w:val="none"/>
    </w:rPr>
  </w:style>
  <w:style w:type="character" w:customStyle="1" w:styleId="20">
    <w:name w:val="font01"/>
    <w:basedOn w:val="11"/>
    <w:qFormat/>
    <w:uiPriority w:val="0"/>
    <w:rPr>
      <w:rFonts w:hint="eastAsia" w:ascii="宋体" w:hAnsi="宋体" w:eastAsia="宋体"/>
      <w:color w:val="252525"/>
      <w:sz w:val="18"/>
      <w:szCs w:val="18"/>
      <w:u w:val="none"/>
    </w:rPr>
  </w:style>
  <w:style w:type="paragraph" w:customStyle="1" w:styleId="21">
    <w:name w:val="正文1"/>
    <w:qFormat/>
    <w:uiPriority w:val="0"/>
    <w:pPr>
      <w:spacing w:before="100" w:beforeAutospacing="1" w:after="200" w:line="273" w:lineRule="auto"/>
    </w:pPr>
    <w:rPr>
      <w:rFonts w:ascii="Times New Roman" w:hAnsi="Times New Roman" w:eastAsia="Times New Roman" w:cs="Calibri"/>
      <w:sz w:val="22"/>
      <w:szCs w:val="22"/>
      <w:lang w:val="en-US" w:eastAsia="zh-CN" w:bidi="th-TH"/>
    </w:rPr>
  </w:style>
  <w:style w:type="character" w:customStyle="1" w:styleId="22">
    <w:name w:val="span3"/>
    <w:basedOn w:val="11"/>
    <w:qFormat/>
    <w:uiPriority w:val="0"/>
  </w:style>
  <w:style w:type="character" w:customStyle="1" w:styleId="23">
    <w:name w:val="span-zjmd"/>
    <w:basedOn w:val="11"/>
    <w:qFormat/>
    <w:uiPriority w:val="0"/>
  </w:style>
  <w:style w:type="character" w:customStyle="1" w:styleId="24">
    <w:name w:val="span-zjts"/>
    <w:basedOn w:val="11"/>
    <w:qFormat/>
    <w:uiPriority w:val="0"/>
  </w:style>
  <w:style w:type="character" w:customStyle="1" w:styleId="25">
    <w:name w:val="hand"/>
    <w:basedOn w:val="11"/>
    <w:qFormat/>
    <w:uiPriority w:val="0"/>
    <w:rPr>
      <w:b/>
      <w:sz w:val="21"/>
      <w:szCs w:val="21"/>
      <w:u w:val="none"/>
    </w:rPr>
  </w:style>
  <w:style w:type="character" w:customStyle="1" w:styleId="26">
    <w:name w:val="span1"/>
    <w:basedOn w:val="11"/>
    <w:qFormat/>
    <w:uiPriority w:val="0"/>
  </w:style>
  <w:style w:type="character" w:customStyle="1" w:styleId="27">
    <w:name w:val="span2"/>
    <w:basedOn w:val="11"/>
    <w:qFormat/>
    <w:uiPriority w:val="0"/>
  </w:style>
  <w:style w:type="character" w:customStyle="1" w:styleId="28">
    <w:name w:val="current"/>
    <w:basedOn w:val="11"/>
    <w:qFormat/>
    <w:uiPriority w:val="0"/>
    <w:rPr>
      <w:color w:val="FFFFFF"/>
      <w:u w:val="none"/>
      <w:shd w:val="clear" w:color="auto" w:fill="FFFFFF"/>
    </w:rPr>
  </w:style>
  <w:style w:type="character" w:customStyle="1" w:styleId="29">
    <w:name w:val="span-sfht"/>
    <w:basedOn w:val="11"/>
    <w:qFormat/>
    <w:uiPriority w:val="0"/>
  </w:style>
  <w:style w:type="paragraph" w:styleId="3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u w:color="000000"/>
      <w:lang w:val="en-US" w:eastAsia="zh-CN" w:bidi="th-TH"/>
    </w:rPr>
  </w:style>
  <w:style w:type="table" w:customStyle="1" w:styleId="3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Labe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outlineLvl w:val="0"/>
    </w:pPr>
    <w:rPr>
      <w:rFonts w:ascii="Calibri" w:hAnsi="Calibri" w:eastAsia="Calibri" w:cs="Calibri"/>
      <w:color w:val="000000"/>
      <w:sz w:val="36"/>
      <w:szCs w:val="36"/>
      <w:lang w:val="en-US" w:eastAsia="zh-CN" w:bidi="th-TH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C5D49D-E2A2-49AC-BEE1-92CB07DAC3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922</Words>
  <Characters>5256</Characters>
  <Lines>43</Lines>
  <Paragraphs>12</Paragraphs>
  <TotalTime>22</TotalTime>
  <ScaleCrop>false</ScaleCrop>
  <LinksUpToDate>false</LinksUpToDate>
  <CharactersWithSpaces>6166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2019-01-21T03:09:00Z</dcterms:created>
  <dc:creator>Administrator</dc:creator>
  <cp:lastModifiedBy>Administrator</cp:lastModifiedBy>
  <cp:lastPrinted>2019-01-21T03:09:00Z</cp:lastPrinted>
  <dcterms:modified xsi:type="dcterms:W3CDTF">2020-04-16T03:01:06Z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