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21" w:firstLineChars="6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新南威尔士大学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40" w:firstLineChars="4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A$ 27600</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90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9月30日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新南威尔士大学，澳大利亚一所世界顶尖级研究学府，澳大利亚名校联盟“八大名校”之一，创立于1949年，其主校区位于新南威尔士州首府悉尼。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新南威尔士大学的校训是Scientia Manu et Mente（拉丁文，意思为：Knowledge by Hand and Mind；中文译作：实践思考出真理），反映著学校对科技研究的精进和实践精神。学校校徽上有象徵牛津大学与真理的书，以及剑桥大学的狮子。新南威尔士大学有来自120多个国家的5万名学生。该校是一所具有学术权威和前瞻性的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的主校区坐落于距离悉尼市中心七公里远的肯辛顿，占地38公顷，靠近城市商业区、火车站、机场和海滨，使学校拥有一个很好的地理位置，坐公共汽车到市中心只需20分钟，而到悉尼的一些著名公园和海滩只需几分钟时间。现代化的、有独特吸引力的校园为学生提供了一个安全、舒适的学习环境。其他校区主要有位于悉尼郊区帕丁顿的美术学院和位于堪培拉的悉尼大学澳大利亚防御力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新南威尔士大学被认为是有着与工业密切联系的院校，这得益于学校选择性的选择合作伙伴并且注重研究的实际运用能力。在2010年从澳大利亚研究理事会取得澳大利亚所有高等院校中最多的研究基金。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校内设有四大图书馆：社会科学和人文图书馆、生物医学图书馆、法学图书馆和物理科学图书馆。各大馆内的借书系统皆已电脑化，并和世界各地的主要图书馆有连线，上国际网路，并和美国主要图书资讯和欧洲图书资讯经由卫星连接。新南威尔士大学提供安全友善的校园生活。新南威尔士大学内部设有咖啡厅和参观、设备优良的现代体育馆、配有医生牙医和理疗师的保健站、银行营业点、报刊经营商和书店以及达到奥林匹克标准的50米室内热水游泳馆。新南威尔士大学的保安服务部门有效地保证了校园内学生和教职员工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新南威尔士大学为外国留学生设立了专门的留学生办公室，中国留学生还成立了中国学生联合会。2003年，清华大学与新南威尔士大学联手推出国际项目管理实战研究生课程。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现任校长大卫冈斯基、前任校长约翰尼尔兰（同时也是麦格理银行董事）都毕业于新南威尔士大学。新南威尔士大学著名校友还有世界知名的分子生物学家施艾、可口可乐公司总裁道格拉斯达芙特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公共关系和广告传媒（BFA）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公共关系和广告传媒本科学位提供给你一个将当代传媒景观和实际作品的专业技巧深层研究特别的结合。你将会发展当代专业交流实践和理论的技能并将重点放在公关和广告方面。你的学习将会开拓创造力、交互力、伦理、可持续性和参与，并用收获的知识去让你成为一个激励创新和社会变革的强有力的领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公共关系和广告传媒是一个三年制的课程，你将会学到的中心课程有广告、公共关系实践、交流技巧等。你将通过对这些课程的学习发展成为公共关系、媒介关系、无获益组织合作交流和广告等的专业人士的知识和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建筑计算（BFA）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建筑计算是三年全日制本科学位或者是四年全日制荣誉本科学位。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计算机就今天而言是创新环境中非常重要的一部分。在建筑方面，计算机在建筑设计、室内设计和测试周围环境方面有着非常重要并且重要程度持续在扩大的作用。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建筑计算本科毕业生是在建筑行业内创造性的运用计算机和数字技术的领导者。这是一个以想法为驱动、以设计为基础的课程。学生被教育成为能够全面运用他们所学的专业知识去解决建筑行业中复杂问题的技术创新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学生毕业之后可以成为建筑视觉艺术家、设计技术经理等建筑方面的行业大家。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建筑研究（BFA）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建筑专业人士认为建筑与其设施的摆放是关系到一个建筑师所能考虑到的环境包容性与设计的最大融合，而这个融合应该最大程度地满足环境本身、客户以及更广泛的社会人士的认可。建筑师应该时刻铭记着可持续性、文化性和经济性这三个基本考虑点，并将创意与之完美的结合，这是一个令人激动且有着严格纪律的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这个学位的毕业生将在众多科目的交叉中与建筑行业各种各样的人密切合作。学校的目标是把学生交到成为丝毫都不会畏惧建筑设计方面挑战的人才。他们是那群用精心设计的环境来改造人们生活质量的人。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工业设计（BFA）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工业设计师在通过设计我们在家的时候、在工作的时候以及在公共场合所使用的产品和系统来塑造我们所生活的环境方面发挥着非常重要的作用。这个工作需要创造思维、想象力、技术知识和一种对改变和新的可能的意识。设计师所考虑的不仅仅是他们所设计的物理物件，同时也是那些有着不同经历的人会使用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作为一个工业设计的学生你讲会学到设计过程、视觉传达、科技和材料、市场研究、人机工程学、研究方法和和专业实践。学生将会在学校的设计实验室开展相关项目，也有去一个实际环境学习的机会。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室内建筑学（BFA）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室内建筑学是室内设计的建筑专业，注重创造性的思维以及室内环境的可能性。在新南威尔士大学澳大利亚室内建筑学，我们将教会我们的学生21世纪全球环境中最广度的条件和经验的室内设计思维。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讲师的授课将会把学习方案和当今室内设计业界所面临的挑战相互融合，这个这是专业内部体系中的一部分。涉及实验室的挑战会伴随着设计、理论、历史、科技等一起加给学生。这些培养方案塑造了学生的知识以及作为一个设计师的自信，因为他们理解了设计并且拥有了将抽象概念视觉化的思考方式。学校的教员都是学者和实践人——他们跟着学生一起参加大部分的设计项目。学校的目的是让毕业的学生变得优秀拥有自己的核心技术和能力并且尽可能的拿到毕业生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屏幕与音响传媒（MFA）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屏幕与音响传媒本科专业包括将目标着重在电影和传媒、声音和视频研究的实践和理论部分。你可以在一系列的视频产品、音频设计、电影和传媒研究中选择自己想要的课程。这个学位也提供对电影和视频制作、影片写作和研究还有声音设计的进一步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屏幕与音响传媒是一个三年制的学位，这个学位会教授给你的技能和知识可以作为你将来成为的制作音频视觉产业（比如电视、电影制作、电影评论和研究等）专业人士的基础。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建筑（MFA）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在建筑设计实践中，建筑师必须为他们有效的创意融入可持续性、文化性和生态意识等因素，这是一个令人激动的和动态的当代实践领域，在这个领域里面建筑师与其他建筑环境专家们密切合作去传达一种人文关怀并且为人们的生活设计一个更加人性化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建筑师因为他们的创造能力和思考一系列知识和有限领域的能力水平而被区分。在认识到这个局限之后，2008年澳大利亚大学决定将本科五年制的建筑学位变成本科研究生五年制。在新南威尔士大学建筑研究生学位是建立在建筑研究本科学位之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规划（MFA）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规划是一项复杂并且动态的活动。它需要对环境、生态、文化、社会、设计、政策和法律法规等的宽方面的理解，以及如何运用这些理论来改变我们的生活和工作环境。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规划本科学位是五年制的课程，其中包含四年的课程学习和一年的实践经验积累。规划硕士学位具体学习时间要看课程简介。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新南威尔士大学规划本科学位为学生们提供了丰富的学科知识和必要的职业技能还有到当今复杂世界的实践机会。学生学会在差异和矛盾中找到平衡，这需要在可持续环境的条件之下。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规划硕士学位设计是为学生提供规划的核心知识，为学生成为合格的规划师培训相关的从业资格。规划硕士学位同时也培养着学生其他方面的专业技能，尤其是那些对规划系统感兴趣的方面、或者是规划机构。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城市发展和设计（MFA）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南威尔士大学的城市发展和设计硕士学位提供在城市形态发展和变革方面先进的学习。学校经常会与同胞校园、城市机构和专业人士去挑战21世纪城乡结合整合最新的城市发展案例和创意设计。案例设计集合和设计研究在实验室、理论研讨会、案例实验室和实地项目等越来越成为一种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城市发展和设计专业目标是为正在萌芽的城市和较旧的城市地区提供一种批判的理解和设计技术，处于悉尼这个全球化的都市，我们有很多可以研究的案例。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设计（BFA&amp;MFA）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学位鼓励学生在当今这个可持续发展的社会中有自己的发言权。这个学位提供给学生他们以后职业生涯终会运用到的、在当今社会上基础和应急的技术，这些技术被认为是负责着整合和创新设计的驱动程序的经验。这个学位教给学生设计元素应当融合社会、文化、道德和环境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在课程学习上学生们将会会想每天生活的环境，并且为相关对象、图形、环境、陶瓷、珠宝首饰和纺织品等设计新的视觉形象。学校估计学生去适应新时代所带来的挑战。设计本科学位是四年全日制的课程体系，包括荣誉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的硕士学位提供给学生们在陶瓷、设计管理、环境、家具和照明、绘图媒介、珠宝、编程和数字设计和纺织品等方面的学习。课程的学习是以实验室可称为基础的，会有批判分析的课程。学生将在学习之中增长他们对于相关专业知识的技能和理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雅思不低于6.5分，单项不要低于6.0分；或者托福网考不低于90分，写作不低于23分，其他部分不低于22分；有些专业要求更高。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高中毕业，具备等同于完成澳洲12年级学习的学历；提供合格的高考成绩，高考分数要求因专业和所在省份而异；或完成预科课程的学习，并达到本科入学要求。1）介绍信； 2）目标陈述 3）作品集、视频编辑、写作作品 4）简历/荣誉和功绩表；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雅思不低于6.5分，单项不要低于6.0分；或者托福网考不低于90分，写作不低于23分，其他部分不低于22分；有些专业要求更高。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1）介绍信；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2）目标陈述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3）作品集、视频编辑、写作作品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4）简历/荣誉和功绩表；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5）本科成绩单（专业成绩平均积点至少达到3.0 ；6）本科学位证以及推荐信，且平均成绩达到80%以上；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ascii="微软雅黑" w:hAnsi="微软雅黑" w:eastAsia="微软雅黑" w:cs="微软雅黑"/>
          <w:i w:val="0"/>
          <w:iCs w:val="0"/>
          <w:caps w:val="0"/>
          <w:color w:val="666666"/>
          <w:spacing w:val="0"/>
          <w:sz w:val="21"/>
          <w:szCs w:val="21"/>
          <w:shd w:val="clear" w:fill="FFFFFF"/>
        </w:rPr>
        <w:t>1. 对于UNSW大学来讲，入学标准里最重要的就是GPA，学生的成绩。学生是否聪明是否优秀，申请材料里显而易见。很多项目是不需要面试的。美国的很多院校都需要面试，需要个人陈述。澳洲的大学不同，我们最看中的就是学生的成绩，这点很明确。如果学生的GPA学习成绩达到录取要求就能被大学录取。新生入学我们有一周的新生见面会。这段时间把国际学生介绍给澳洲本土的学生，同时让国际学生了解到校园的俱乐部，社团以及其他的校园组织。</w:t>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br w:type="textWrapping"/>
      </w:r>
      <w:r>
        <w:rPr>
          <w:rFonts w:hint="eastAsia" w:ascii="微软雅黑" w:hAnsi="微软雅黑" w:eastAsia="微软雅黑" w:cs="微软雅黑"/>
          <w:i w:val="0"/>
          <w:iCs w:val="0"/>
          <w:caps w:val="0"/>
          <w:color w:val="666666"/>
          <w:spacing w:val="0"/>
          <w:sz w:val="21"/>
          <w:szCs w:val="21"/>
          <w:shd w:val="clear" w:fill="FFFFFF"/>
        </w:rPr>
        <w:t>2.作品集是一次设计，里面的内容是设计，如何排列是设计，它本身也是设计。意思就是说，其实一个人的设计水平或者综合能力是体现在各个方面的，很少有人设计非常好但是作品集设计感很差。换句话说，就是如果作品集很有设计感，通常就能感觉到这个人的设计也不错。不过不要喧宾夺主，“度”很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2F92620D"/>
    <w:rsid w:val="2F92620D"/>
    <w:rsid w:val="3302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4165</Words>
  <Characters>4278</Characters>
  <Lines>0</Lines>
  <Paragraphs>0</Paragraphs>
  <TotalTime>3</TotalTime>
  <ScaleCrop>false</ScaleCrop>
  <LinksUpToDate>false</LinksUpToDate>
  <CharactersWithSpaces>4299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2022-08-29T07:35:00Z</dcterms:created>
  <dc:creator>郑芸凤</dc:creator>
  <cp:lastModifiedBy>冰冰⊙▽⊙＊</cp:lastModifiedBy>
  <dcterms:modified xsi:type="dcterms:W3CDTF">2022-09-02T08:18:24Z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8EFDC0A6999E4A62B1E2428A45B003E9</vt:lpwstr>
  </property>
</Properties>
</file>