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D4" w:rsidRDefault="001346D4">
      <w:pPr>
        <w:rPr>
          <w:rFonts w:ascii="楷体_GB2312" w:eastAsia="楷体_GB2312" w:hAnsi="宋体"/>
          <w:b/>
          <w:bCs/>
          <w:color w:val="000000" w:themeColor="text1"/>
          <w:szCs w:val="36"/>
        </w:rPr>
      </w:pPr>
    </w:p>
    <w:p w:rsidR="001346D4" w:rsidRDefault="00B05270">
      <w:pPr>
        <w:adjustRightInd w:val="0"/>
        <w:snapToGrid w:val="0"/>
        <w:spacing w:line="276" w:lineRule="auto"/>
        <w:jc w:val="center"/>
        <w:rPr>
          <w:rFonts w:ascii="微软雅黑" w:eastAsia="微软雅黑" w:hAnsi="微软雅黑"/>
          <w:b/>
          <w:bCs/>
          <w:color w:val="FF0000"/>
          <w:sz w:val="32"/>
          <w:szCs w:val="32"/>
        </w:rPr>
      </w:pPr>
      <w:r>
        <w:rPr>
          <w:rFonts w:ascii="微软雅黑" w:eastAsia="微软雅黑" w:hAnsi="微软雅黑" w:hint="eastAsia"/>
          <w:b/>
          <w:bCs/>
          <w:color w:val="FF0000"/>
          <w:sz w:val="32"/>
          <w:szCs w:val="32"/>
        </w:rPr>
        <w:t>特许权使用费与海关稽查应对</w:t>
      </w:r>
    </w:p>
    <w:p w:rsidR="001346D4" w:rsidRDefault="00B05270">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1346D4" w:rsidRDefault="00B05270">
      <w:pPr>
        <w:adjustRightInd w:val="0"/>
        <w:snapToGrid w:val="0"/>
        <w:spacing w:line="276" w:lineRule="auto"/>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rPr>
        <w:t>公司高管、进出口部门经理、采购经理、物流经理、财务经理、关务主管及相关人员。</w:t>
      </w:r>
    </w:p>
    <w:p w:rsidR="001346D4" w:rsidRDefault="00B05270">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4200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1346D4" w:rsidRDefault="00B05270">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173976C"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1346D4" w:rsidRDefault="001346D4">
      <w:pPr>
        <w:rPr>
          <w:rFonts w:hAnsi="宋体" w:cs="Calibri"/>
          <w:b/>
          <w:color w:val="990000"/>
          <w:sz w:val="20"/>
        </w:rPr>
        <w:sectPr w:rsidR="001346D4">
          <w:headerReference w:type="default" r:id="rId8"/>
          <w:footerReference w:type="default" r:id="rId9"/>
          <w:type w:val="continuous"/>
          <w:pgSz w:w="11906" w:h="16838"/>
          <w:pgMar w:top="1134" w:right="1134" w:bottom="851" w:left="993" w:header="851" w:footer="227" w:gutter="0"/>
          <w:pgNumType w:fmt="numberInDash"/>
          <w:cols w:space="720"/>
          <w:docGrid w:type="linesAndChars" w:linePitch="312"/>
        </w:sectPr>
      </w:pPr>
    </w:p>
    <w:p w:rsidR="001346D4" w:rsidRDefault="00B05270">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课程特色：</w:t>
      </w:r>
    </w:p>
    <w:p w:rsidR="001346D4" w:rsidRDefault="00B05270">
      <w:pPr>
        <w:widowControl/>
        <w:adjustRightInd w:val="0"/>
        <w:snapToGrid w:val="0"/>
        <w:rPr>
          <w:rFonts w:ascii="微软雅黑" w:eastAsia="微软雅黑" w:hAnsi="微软雅黑"/>
          <w:color w:val="000000" w:themeColor="text1"/>
          <w:szCs w:val="21"/>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微软雅黑" w:eastAsia="微软雅黑" w:hAnsi="微软雅黑" w:hint="eastAsia"/>
          <w:color w:val="000000" w:themeColor="text1"/>
          <w:szCs w:val="21"/>
        </w:rPr>
        <w:t>2016</w:t>
      </w:r>
      <w:r>
        <w:rPr>
          <w:rFonts w:ascii="微软雅黑" w:eastAsia="微软雅黑" w:hAnsi="微软雅黑" w:hint="eastAsia"/>
          <w:color w:val="000000" w:themeColor="text1"/>
          <w:szCs w:val="21"/>
        </w:rPr>
        <w:t>年</w:t>
      </w: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月</w:t>
      </w:r>
      <w:r>
        <w:rPr>
          <w:rFonts w:ascii="微软雅黑" w:eastAsia="微软雅黑" w:hAnsi="微软雅黑" w:hint="eastAsia"/>
          <w:color w:val="000000" w:themeColor="text1"/>
          <w:szCs w:val="21"/>
        </w:rPr>
        <w:t>19</w:t>
      </w:r>
      <w:r>
        <w:rPr>
          <w:rFonts w:ascii="微软雅黑" w:eastAsia="微软雅黑" w:hAnsi="微软雅黑" w:hint="eastAsia"/>
          <w:color w:val="000000" w:themeColor="text1"/>
          <w:szCs w:val="21"/>
        </w:rPr>
        <w:t>日，国务院总理李克强签署第</w:t>
      </w:r>
      <w:r>
        <w:rPr>
          <w:rFonts w:ascii="微软雅黑" w:eastAsia="微软雅黑" w:hAnsi="微软雅黑" w:hint="eastAsia"/>
          <w:color w:val="000000" w:themeColor="text1"/>
          <w:szCs w:val="21"/>
        </w:rPr>
        <w:t>670</w:t>
      </w:r>
      <w:r>
        <w:rPr>
          <w:rFonts w:ascii="微软雅黑" w:eastAsia="微软雅黑" w:hAnsi="微软雅黑" w:hint="eastAsia"/>
          <w:color w:val="000000" w:themeColor="text1"/>
          <w:szCs w:val="21"/>
        </w:rPr>
        <w:t>号国务院令，公布《国务院关于修改〈中华人民共和国海关稽查条例〉的决定》，自</w:t>
      </w:r>
      <w:r>
        <w:rPr>
          <w:rFonts w:ascii="微软雅黑" w:eastAsia="微软雅黑" w:hAnsi="微软雅黑" w:hint="eastAsia"/>
          <w:color w:val="000000" w:themeColor="text1"/>
          <w:szCs w:val="21"/>
        </w:rPr>
        <w:t>2016</w:t>
      </w:r>
      <w:r>
        <w:rPr>
          <w:rFonts w:ascii="微软雅黑" w:eastAsia="微软雅黑" w:hAnsi="微软雅黑" w:hint="eastAsia"/>
          <w:color w:val="000000" w:themeColor="text1"/>
          <w:szCs w:val="21"/>
        </w:rPr>
        <w:t>年</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月</w:t>
      </w: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日起施行。随着对外贸易发展及国内、国际形势的变化，新的《海关稽查条例》与</w:t>
      </w:r>
      <w:r>
        <w:rPr>
          <w:rFonts w:ascii="微软雅黑" w:eastAsia="微软雅黑" w:hAnsi="微软雅黑" w:hint="eastAsia"/>
          <w:color w:val="000000" w:themeColor="text1"/>
          <w:szCs w:val="21"/>
        </w:rPr>
        <w:t>1997</w:t>
      </w:r>
      <w:r>
        <w:rPr>
          <w:rFonts w:ascii="微软雅黑" w:eastAsia="微软雅黑" w:hAnsi="微软雅黑" w:hint="eastAsia"/>
          <w:color w:val="000000" w:themeColor="text1"/>
          <w:szCs w:val="21"/>
        </w:rPr>
        <w:t>年颁布的旧《海关稽查条例》相比，其有重大的修订调整与完善。与此同此，海关各项新政与改革配套措施正如火如荼展开，企业应做好相应准备。</w:t>
      </w:r>
    </w:p>
    <w:p w:rsidR="001346D4" w:rsidRDefault="00B05270">
      <w:pPr>
        <w:widowControl/>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2018</w:t>
      </w:r>
      <w:r>
        <w:rPr>
          <w:rFonts w:ascii="微软雅黑" w:eastAsia="微软雅黑" w:hAnsi="微软雅黑" w:hint="eastAsia"/>
          <w:color w:val="000000" w:themeColor="text1"/>
          <w:szCs w:val="21"/>
        </w:rPr>
        <w:t>年国际、国内经济形势依旧不明朗，全国通关一体化改革在加快通关速度的同时将日常关务风险延后，清关后的海关稽查力度、深度都将大幅的加强。伴随着海关“多查合一”改革的深入推进，海关稽查队伍将更加重视对企业物流、生产、财务、进出口单证及账簿的稽查；届时，不少企业违规、违法、走私等情形将逐一浮出水面。</w:t>
      </w:r>
      <w:r>
        <w:rPr>
          <w:rFonts w:ascii="微软雅黑" w:eastAsia="微软雅黑" w:hAnsi="微软雅黑" w:hint="eastAsia"/>
          <w:color w:val="000000" w:themeColor="text1"/>
          <w:szCs w:val="21"/>
        </w:rPr>
        <w:t>2018</w:t>
      </w:r>
      <w:r>
        <w:rPr>
          <w:rFonts w:ascii="微软雅黑" w:eastAsia="微软雅黑" w:hAnsi="微软雅黑" w:hint="eastAsia"/>
          <w:color w:val="000000" w:themeColor="text1"/>
          <w:szCs w:val="21"/>
        </w:rPr>
        <w:t>年海关将加大“完税价格相关要素”、“价格三个确认”的全面督查力度；与此同时，特许权使用费是广大跨国企业对外支付比较频繁的一笔费用，数额通常巨大；而海关最近几年对此类非贸付汇情况特别关注，企业事后被海关稽查</w:t>
      </w:r>
      <w:r>
        <w:rPr>
          <w:rFonts w:ascii="微软雅黑" w:eastAsia="微软雅黑" w:hAnsi="微软雅黑" w:hint="eastAsia"/>
          <w:color w:val="000000" w:themeColor="text1"/>
          <w:szCs w:val="21"/>
        </w:rPr>
        <w:t>并对此笔费用进行分摊补税的情事频发。</w:t>
      </w:r>
    </w:p>
    <w:p w:rsidR="001346D4" w:rsidRDefault="00B05270">
      <w:pPr>
        <w:widowControl/>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本次培训就将针对以上背景，对我国新施行的《海关稽查条例》以及其他新政进行深度解读，并从海关和企业的角度深层剖析海关稽查要点及企业合规管理的薄弱点；同时，针对眼下海关对相关行业非贸付汇项下的特许权使用费专项稽查一事，从海关《审价办法》出发结合行业典型案例，帮助与会人员理解特许权使用费企业支付及海关是否计征的相关法律依据及判断标准，提高企业贸易合规水平，降低企业经营成本和风险。</w:t>
      </w:r>
    </w:p>
    <w:p w:rsidR="001346D4" w:rsidRDefault="00B05270">
      <w:pPr>
        <w:widowControl/>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课程收益：</w:t>
      </w:r>
    </w:p>
    <w:p w:rsidR="001346D4" w:rsidRDefault="00B05270">
      <w:pPr>
        <w:adjustRightInd w:val="0"/>
        <w:snapToGrid w:val="0"/>
        <w:rPr>
          <w:rFonts w:ascii="微软雅黑" w:eastAsia="微软雅黑" w:hAnsi="微软雅黑"/>
          <w:szCs w:val="21"/>
        </w:rPr>
      </w:pPr>
      <w:r>
        <w:rPr>
          <w:rFonts w:ascii="微软雅黑" w:eastAsia="微软雅黑" w:hAnsi="微软雅黑" w:hint="eastAsia"/>
          <w:szCs w:val="21"/>
        </w:rPr>
        <w:t>本课程可以让培训者获得以下收益：</w:t>
      </w:r>
      <w:r>
        <w:rPr>
          <w:rFonts w:ascii="微软雅黑" w:eastAsia="微软雅黑" w:hAnsi="微软雅黑" w:hint="eastAsia"/>
          <w:szCs w:val="21"/>
        </w:rPr>
        <w:t xml:space="preserve"> </w:t>
      </w:r>
    </w:p>
    <w:p w:rsidR="001346D4" w:rsidRDefault="00B05270">
      <w:pPr>
        <w:adjustRightInd w:val="0"/>
        <w:snapToGrid w:val="0"/>
        <w:rPr>
          <w:rFonts w:ascii="微软雅黑" w:eastAsia="微软雅黑" w:hAnsi="微软雅黑"/>
          <w:szCs w:val="21"/>
        </w:rPr>
      </w:pPr>
      <w:r>
        <w:rPr>
          <w:rFonts w:ascii="微软雅黑" w:eastAsia="微软雅黑" w:hAnsi="微软雅黑" w:hint="eastAsia"/>
          <w:szCs w:val="21"/>
        </w:rPr>
        <w:t>⒈通过对比新、旧《海关稽查条例》相关内容、</w:t>
      </w:r>
      <w:r>
        <w:rPr>
          <w:rFonts w:ascii="微软雅黑" w:eastAsia="微软雅黑" w:hAnsi="微软雅黑" w:hint="eastAsia"/>
          <w:szCs w:val="21"/>
        </w:rPr>
        <w:t>201</w:t>
      </w:r>
      <w:r>
        <w:rPr>
          <w:rFonts w:ascii="微软雅黑" w:eastAsia="微软雅黑" w:hAnsi="微软雅黑" w:hint="eastAsia"/>
          <w:szCs w:val="21"/>
        </w:rPr>
        <w:t>8</w:t>
      </w:r>
      <w:r>
        <w:rPr>
          <w:rFonts w:ascii="微软雅黑" w:eastAsia="微软雅黑" w:hAnsi="微软雅黑" w:hint="eastAsia"/>
          <w:szCs w:val="21"/>
        </w:rPr>
        <w:t>海关新政及配套改革措施，了解通关改革及海关执法理念的转变，熟知海关对进出口货物进行稽查关注的重点与“底线”；</w:t>
      </w:r>
    </w:p>
    <w:p w:rsidR="001346D4" w:rsidRDefault="00B05270">
      <w:pPr>
        <w:adjustRightInd w:val="0"/>
        <w:snapToGrid w:val="0"/>
        <w:rPr>
          <w:rFonts w:ascii="微软雅黑" w:eastAsia="微软雅黑" w:hAnsi="微软雅黑"/>
          <w:szCs w:val="21"/>
        </w:rPr>
      </w:pPr>
      <w:r>
        <w:rPr>
          <w:rFonts w:ascii="微软雅黑" w:eastAsia="微软雅黑" w:hAnsi="微软雅黑" w:hint="eastAsia"/>
          <w:szCs w:val="21"/>
        </w:rPr>
        <w:t>⒉了解海关现行全国性税收稽查的背景、特点，对企业经营活动中可能涉及的相关海关事务风险进行预先评估和防控，对已涉的各类企业海关事务问题进行积极、有效的应对和解决；</w:t>
      </w:r>
    </w:p>
    <w:p w:rsidR="001346D4" w:rsidRDefault="00B05270">
      <w:pPr>
        <w:adjustRightInd w:val="0"/>
        <w:snapToGrid w:val="0"/>
        <w:rPr>
          <w:rFonts w:ascii="微软雅黑" w:eastAsia="微软雅黑" w:hAnsi="微软雅黑"/>
          <w:b/>
          <w:color w:val="FF0000"/>
          <w:sz w:val="24"/>
        </w:rPr>
      </w:pPr>
      <w:r>
        <w:rPr>
          <w:rFonts w:ascii="微软雅黑" w:eastAsia="微软雅黑" w:hAnsi="微软雅黑" w:hint="eastAsia"/>
          <w:szCs w:val="21"/>
        </w:rPr>
        <w:t>⒊充分理解海关现行《审价办法》中有关“特许权使用费”计征的法律条款，面对海关事后质疑及稽查，合理有效的利用这些规则，降低由此引发的相应关务风险和企业成本，便利通关。</w:t>
      </w:r>
    </w:p>
    <w:p w:rsidR="001346D4" w:rsidRDefault="00B05270">
      <w:pPr>
        <w:widowControl/>
        <w:adjustRightInd w:val="0"/>
        <w:snapToGrid w:val="0"/>
        <w:ind w:left="1" w:hanging="1"/>
        <w:rPr>
          <w:rFonts w:ascii="微软雅黑" w:eastAsia="微软雅黑" w:hAnsi="微软雅黑"/>
          <w:b/>
          <w:color w:val="00B0F0"/>
          <w:sz w:val="24"/>
        </w:rPr>
        <w:sectPr w:rsidR="001346D4">
          <w:type w:val="continuous"/>
          <w:pgSz w:w="11906" w:h="16838"/>
          <w:pgMar w:top="1134" w:right="1286" w:bottom="851" w:left="1134" w:header="851" w:footer="229" w:gutter="0"/>
          <w:pgNumType w:fmt="numberInDash"/>
          <w:cols w:sep="1" w:space="425"/>
          <w:docGrid w:type="linesAndChars" w:linePitch="312"/>
        </w:sectPr>
      </w:pPr>
      <w:r>
        <w:rPr>
          <w:rFonts w:ascii="宋体" w:hAnsi="宋体" w:cs="宋体" w:hint="eastAsia"/>
          <w:kern w:val="0"/>
          <w:sz w:val="20"/>
          <w:szCs w:val="20"/>
        </w:rPr>
        <w:t xml:space="preserve">  </w:t>
      </w:r>
    </w:p>
    <w:p w:rsidR="001346D4" w:rsidRDefault="00B05270">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课程大纲：</w:t>
      </w:r>
    </w:p>
    <w:p w:rsidR="001346D4" w:rsidRDefault="001346D4">
      <w:pPr>
        <w:widowControl/>
        <w:adjustRightInd w:val="0"/>
        <w:snapToGrid w:val="0"/>
        <w:jc w:val="left"/>
        <w:rPr>
          <w:rFonts w:ascii="微软雅黑" w:eastAsia="微软雅黑" w:hAnsi="微软雅黑" w:cs="宋体"/>
          <w:b/>
          <w:kern w:val="0"/>
          <w:szCs w:val="21"/>
        </w:rPr>
        <w:sectPr w:rsidR="001346D4">
          <w:type w:val="continuous"/>
          <w:pgSz w:w="11906" w:h="16838"/>
          <w:pgMar w:top="1134" w:right="1286" w:bottom="851" w:left="1134" w:header="851" w:footer="229" w:gutter="0"/>
          <w:pgNumType w:fmt="numberInDash"/>
          <w:cols w:sep="1" w:space="425"/>
          <w:docGrid w:type="linesAndChars" w:linePitch="312"/>
        </w:sectPr>
      </w:pPr>
    </w:p>
    <w:p w:rsidR="001346D4" w:rsidRDefault="00B05270">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一、《海关稽查条例》实施与新政解读</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⒈海关稽查与进出口货物合规管理</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⒉新旧《海关稽查条例》的比较与解读</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⒊新《海关稽查条例》修订释放的信息</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w:t>
      </w:r>
      <w:r>
        <w:rPr>
          <w:rFonts w:ascii="微软雅黑" w:eastAsia="微软雅黑" w:hAnsi="微软雅黑" w:cs="宋体" w:hint="eastAsia"/>
          <w:kern w:val="0"/>
          <w:szCs w:val="21"/>
        </w:rPr>
        <w:t>2018</w:t>
      </w:r>
      <w:r>
        <w:rPr>
          <w:rFonts w:ascii="微软雅黑" w:eastAsia="微软雅黑" w:hAnsi="微软雅黑" w:cs="宋体" w:hint="eastAsia"/>
          <w:kern w:val="0"/>
          <w:szCs w:val="21"/>
        </w:rPr>
        <w:t>海关新政解读及配套改革措施剖析</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⒌通关一体化改革试点与海关稽查的跟进</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⒍企业自查自报、主动披露与海关稽查</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⒎进出口信用评定与海关稽查对象确定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⒏引入社会中介机构参与海关稽查效果</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⒐贸易调研、海关稽查涉及商业机密处理</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⒑企业如何适应海关常态化的专项稽查</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w:t>
      </w:r>
    </w:p>
    <w:p w:rsidR="001346D4" w:rsidRDefault="00B05270">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二、</w:t>
      </w:r>
      <w:r>
        <w:rPr>
          <w:rFonts w:ascii="微软雅黑" w:eastAsia="微软雅黑" w:hAnsi="微软雅黑" w:cs="宋体" w:hint="eastAsia"/>
          <w:b/>
          <w:kern w:val="0"/>
          <w:szCs w:val="21"/>
        </w:rPr>
        <w:t>2018</w:t>
      </w:r>
      <w:r>
        <w:rPr>
          <w:rFonts w:ascii="微软雅黑" w:eastAsia="微软雅黑" w:hAnsi="微软雅黑" w:cs="宋体" w:hint="eastAsia"/>
          <w:b/>
          <w:kern w:val="0"/>
          <w:szCs w:val="21"/>
        </w:rPr>
        <w:t>海关稽查重点，企业如何应对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w:t>
      </w:r>
      <w:r>
        <w:rPr>
          <w:rFonts w:ascii="微软雅黑" w:eastAsia="微软雅黑" w:hAnsi="微软雅黑" w:cs="宋体" w:hint="eastAsia"/>
          <w:kern w:val="0"/>
          <w:szCs w:val="21"/>
        </w:rPr>
        <w:t>2018</w:t>
      </w:r>
      <w:r>
        <w:rPr>
          <w:rFonts w:ascii="微软雅黑" w:eastAsia="微软雅黑" w:hAnsi="微软雅黑" w:cs="宋体" w:hint="eastAsia"/>
          <w:kern w:val="0"/>
          <w:szCs w:val="21"/>
        </w:rPr>
        <w:t>年全国海关稽查工作要点解读</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⒉企业收到海关稽查通知书该如何应对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⒊海关下达稽查通知书的诱因有哪几种</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⒋什么样的企业受海关稽查的可能性较大</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⒌海关实施稽查企业的准备与部门间的配合</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⒍海关的稽查思路、模式，其具体操作流程</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⒎通常会从哪些角度入手，企业应如何应对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⒏如何应对海关对商品税号引发的专项稽查</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⒐如何应对海关对特许权使用费的专项稽查</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⒑海关对减免税设备核查重点，企业如何应对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⒒海关对保税业务的核查重点，企业如何应对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⒓海关稽查部门在何种情况下会将案件移交缉私</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⒔如何更有效地配合海关稽查同时又能保护自己</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⒕企业</w:t>
      </w:r>
      <w:r>
        <w:rPr>
          <w:rFonts w:ascii="微软雅黑" w:eastAsia="微软雅黑" w:hAnsi="微软雅黑" w:cs="宋体" w:hint="eastAsia"/>
          <w:kern w:val="0"/>
          <w:szCs w:val="21"/>
        </w:rPr>
        <w:t>AEO</w:t>
      </w:r>
      <w:r>
        <w:rPr>
          <w:rFonts w:ascii="微软雅黑" w:eastAsia="微软雅黑" w:hAnsi="微软雅黑" w:cs="宋体" w:hint="eastAsia"/>
          <w:kern w:val="0"/>
          <w:szCs w:val="21"/>
        </w:rPr>
        <w:t>认证与关务风险排查与内审的实施</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w:t>
      </w:r>
    </w:p>
    <w:p w:rsidR="001346D4" w:rsidRDefault="00B05270">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三、海关价格稽查与企业自查</w:t>
      </w:r>
      <w:r>
        <w:rPr>
          <w:rFonts w:ascii="微软雅黑" w:eastAsia="微软雅黑" w:hAnsi="微软雅黑" w:cs="宋体" w:hint="eastAsia"/>
          <w:b/>
          <w:kern w:val="0"/>
          <w:szCs w:val="21"/>
        </w:rPr>
        <w:t>/</w:t>
      </w:r>
      <w:r>
        <w:rPr>
          <w:rFonts w:ascii="微软雅黑" w:eastAsia="微软雅黑" w:hAnsi="微软雅黑" w:cs="宋体" w:hint="eastAsia"/>
          <w:b/>
          <w:kern w:val="0"/>
          <w:szCs w:val="21"/>
        </w:rPr>
        <w:t>自报评估</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⒈全国海关价格稽查新动向与新特点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⒉海关价格稽查的重点与作业核心流程</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⒊海关税收形势与企业价格申报风险</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⒋“完税价格相关要素”、“价格三个确认”</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⒌“价格三个确认”处置思路与风险防控</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⒍货物完税价格认定原则和操作注意事项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⒎企业货物价格申报，海关审价的关注点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⒏成交价格适用范围与企业的申报价格</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⒐海关稽查处罚认定和企业补税额度确定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⒑海关稽查时效及企业罚补税款的核算</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⒒一般贸易货物进口海关审价相关案例解析</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⒓加工贸易货物内销价格申报与海关价格审核</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⒔如何界定价格申报不实、规避价格瞒骗</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⒕海关与企业对进出口货物价格争议解决途径</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⒖企业自查报告撰写及解释材料的准备</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⒗海关稽查企业应对及自查</w:t>
      </w:r>
      <w:r>
        <w:rPr>
          <w:rFonts w:ascii="微软雅黑" w:eastAsia="微软雅黑" w:hAnsi="微软雅黑" w:cs="宋体" w:hint="eastAsia"/>
          <w:kern w:val="0"/>
          <w:szCs w:val="21"/>
        </w:rPr>
        <w:t>/</w:t>
      </w:r>
      <w:r>
        <w:rPr>
          <w:rFonts w:ascii="微软雅黑" w:eastAsia="微软雅黑" w:hAnsi="微软雅黑" w:cs="宋体" w:hint="eastAsia"/>
          <w:kern w:val="0"/>
          <w:szCs w:val="21"/>
        </w:rPr>
        <w:t>自报体系建立</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w:t>
      </w:r>
    </w:p>
    <w:p w:rsidR="001346D4" w:rsidRDefault="00B05270">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四、特许权使用费的海关计征</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⒈企业申报价格海关与税务关注点</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⒉海关价格审核与企业转移定价制定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⒊跨国企业关联交易与价格申报注意</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⒋企业价格申报常见问题剖析与解决</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⒌海关计征特许权使用费范围的界定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⒍企业特许权使用费的申报时限认定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⒎特许权使用费计征条件、条款的理解</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⒏特许权使用费销售要件的理解与认定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⒐商标费、专利费、专有技术费海关计征</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⒑“轻度加工”的判断标准及条款理解</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⒒软件特许权使用费的认定和海关计征</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⒓特许权使用费的分摊原则与计算方法</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⒔“特许权使用费”计征与“协助”关系</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⒕特许权使用费计征与转移定价政策制定</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⒖特许权使用费统一支付与海关价格审核</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⒗特许权使用费协议签订、付汇与关务操作</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⒘企业非贸付汇与海关特许权使用费计征</w:t>
      </w:r>
    </w:p>
    <w:p w:rsidR="001346D4" w:rsidRDefault="00B05270">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⒙技术许可</w:t>
      </w:r>
      <w:r>
        <w:rPr>
          <w:rFonts w:ascii="微软雅黑" w:eastAsia="微软雅黑" w:hAnsi="微软雅黑" w:cs="宋体" w:hint="eastAsia"/>
          <w:kern w:val="0"/>
          <w:szCs w:val="21"/>
        </w:rPr>
        <w:t>/</w:t>
      </w:r>
      <w:r>
        <w:rPr>
          <w:rFonts w:ascii="微软雅黑" w:eastAsia="微软雅黑" w:hAnsi="微软雅黑" w:cs="宋体" w:hint="eastAsia"/>
          <w:kern w:val="0"/>
          <w:szCs w:val="21"/>
        </w:rPr>
        <w:t>分销协议审核与海关价格</w:t>
      </w:r>
      <w:r>
        <w:rPr>
          <w:rFonts w:ascii="微软雅黑" w:eastAsia="微软雅黑" w:hAnsi="微软雅黑" w:cs="宋体" w:hint="eastAsia"/>
          <w:kern w:val="0"/>
          <w:szCs w:val="21"/>
        </w:rPr>
        <w:t>质疑</w:t>
      </w:r>
    </w:p>
    <w:p w:rsidR="001346D4" w:rsidRDefault="00B05270">
      <w:pPr>
        <w:widowControl/>
        <w:adjustRightInd w:val="0"/>
        <w:snapToGrid w:val="0"/>
        <w:jc w:val="left"/>
        <w:rPr>
          <w:rFonts w:ascii="微软雅黑" w:eastAsia="微软雅黑" w:hAnsi="微软雅黑" w:cs="宋体"/>
          <w:kern w:val="0"/>
          <w:szCs w:val="21"/>
        </w:rPr>
        <w:sectPr w:rsidR="001346D4">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cs="宋体" w:hint="eastAsia"/>
          <w:kern w:val="0"/>
          <w:szCs w:val="21"/>
        </w:rPr>
        <w:t>……</w:t>
      </w:r>
    </w:p>
    <w:p w:rsidR="001346D4" w:rsidRDefault="001346D4">
      <w:pPr>
        <w:adjustRightInd w:val="0"/>
        <w:snapToGrid w:val="0"/>
        <w:rPr>
          <w:rFonts w:ascii="微软雅黑" w:eastAsia="微软雅黑" w:hAnsi="微软雅黑"/>
          <w:szCs w:val="21"/>
        </w:rPr>
        <w:sectPr w:rsidR="001346D4">
          <w:type w:val="continuous"/>
          <w:pgSz w:w="11906" w:h="16838"/>
          <w:pgMar w:top="1134" w:right="1286" w:bottom="851" w:left="1134" w:header="851" w:footer="229" w:gutter="0"/>
          <w:pgNumType w:fmt="numberInDash"/>
          <w:cols w:sep="1" w:space="425"/>
          <w:docGrid w:type="linesAndChars" w:linePitch="312"/>
        </w:sectPr>
      </w:pPr>
    </w:p>
    <w:p w:rsidR="001346D4" w:rsidRDefault="00B05270">
      <w:pPr>
        <w:adjustRightInd w:val="0"/>
        <w:snapToGrid w:val="0"/>
        <w:rPr>
          <w:rFonts w:ascii="微软雅黑" w:eastAsia="微软雅黑" w:hAnsi="微软雅黑"/>
          <w:szCs w:val="21"/>
        </w:rPr>
        <w:sectPr w:rsidR="001346D4">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cs="宋体"/>
          <w:noProof/>
          <w:color w:val="000000"/>
          <w:kern w:val="0"/>
          <w:szCs w:val="21"/>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8255</wp:posOffset>
            </wp:positionV>
            <wp:extent cx="1390015" cy="1614170"/>
            <wp:effectExtent l="19050" t="0" r="19685" b="50038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261" cy="16141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346D4" w:rsidRDefault="00B05270">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讲师介绍：</w:t>
      </w:r>
    </w:p>
    <w:p w:rsidR="001346D4" w:rsidRDefault="00B05270">
      <w:pPr>
        <w:widowControl/>
        <w:adjustRightInd w:val="0"/>
        <w:snapToGrid w:val="0"/>
        <w:rPr>
          <w:rFonts w:ascii="微软雅黑" w:eastAsia="微软雅黑" w:hAnsi="微软雅黑" w:cs="宋体"/>
          <w:b/>
          <w:bCs/>
          <w:color w:val="000000"/>
          <w:kern w:val="0"/>
          <w:sz w:val="24"/>
          <w:szCs w:val="21"/>
        </w:rPr>
      </w:pPr>
      <w:r>
        <w:rPr>
          <w:rFonts w:ascii="微软雅黑" w:eastAsia="微软雅黑" w:hAnsi="微软雅黑" w:cs="宋体" w:hint="eastAsia"/>
          <w:b/>
          <w:bCs/>
          <w:color w:val="000000"/>
          <w:kern w:val="0"/>
          <w:sz w:val="24"/>
          <w:szCs w:val="21"/>
        </w:rPr>
        <w:t>Mr. Leon  Wang</w:t>
      </w:r>
    </w:p>
    <w:p w:rsidR="001346D4" w:rsidRDefault="00B05270">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现为海关总署和帕迪咨询高级讲师，曾在上海海关工作</w:t>
      </w:r>
      <w:r>
        <w:rPr>
          <w:rFonts w:ascii="微软雅黑" w:eastAsia="微软雅黑" w:hAnsi="微软雅黑" w:cs="宋体" w:hint="eastAsia"/>
          <w:color w:val="000000"/>
          <w:kern w:val="0"/>
          <w:szCs w:val="21"/>
        </w:rPr>
        <w:t>10</w:t>
      </w:r>
      <w:r>
        <w:rPr>
          <w:rFonts w:ascii="微软雅黑" w:eastAsia="微软雅黑" w:hAnsi="微软雅黑" w:cs="宋体" w:hint="eastAsia"/>
          <w:color w:val="000000"/>
          <w:kern w:val="0"/>
          <w:szCs w:val="21"/>
        </w:rPr>
        <w:t>余年，</w:t>
      </w:r>
    </w:p>
    <w:p w:rsidR="001346D4" w:rsidRDefault="00B05270">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主要从事中国关务研究与培训工作，如</w:t>
      </w:r>
      <w:r>
        <w:rPr>
          <w:rFonts w:ascii="微软雅黑" w:eastAsia="微软雅黑" w:hAnsi="微软雅黑" w:cs="宋体" w:hint="eastAsia"/>
          <w:color w:val="000000"/>
          <w:kern w:val="0"/>
          <w:szCs w:val="21"/>
        </w:rPr>
        <w:t>HS</w:t>
      </w:r>
      <w:r>
        <w:rPr>
          <w:rFonts w:ascii="微软雅黑" w:eastAsia="微软雅黑" w:hAnsi="微软雅黑" w:cs="宋体" w:hint="eastAsia"/>
          <w:color w:val="000000"/>
          <w:kern w:val="0"/>
          <w:szCs w:val="21"/>
        </w:rPr>
        <w:t>编码专业审核、关务风险</w:t>
      </w:r>
    </w:p>
    <w:p w:rsidR="001346D4" w:rsidRDefault="00B05270">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防控与内审、关务筹划与合规管理；同时为上海海关学院海关税收研究</w:t>
      </w:r>
    </w:p>
    <w:p w:rsidR="001346D4" w:rsidRDefault="00B05270">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中心和报关研究中心专家组成员，中国海关学会会员。</w:t>
      </w:r>
    </w:p>
    <w:p w:rsidR="001346D4" w:rsidRDefault="00B05270">
      <w:pPr>
        <w:widowControl/>
        <w:adjustRightInd w:val="0"/>
        <w:snapToGrid w:val="0"/>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社会兼职：德国商会、法国商会海关事务高级培训师，关务顾问，上海企业培训网签约高级培训师；</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t>同时利用自己的专业知识与实践经验为多家世界</w:t>
      </w:r>
      <w:r>
        <w:rPr>
          <w:rFonts w:ascii="微软雅黑" w:eastAsia="微软雅黑" w:hAnsi="微软雅黑" w:cs="宋体" w:hint="eastAsia"/>
          <w:color w:val="000000"/>
          <w:kern w:val="0"/>
          <w:szCs w:val="21"/>
        </w:rPr>
        <w:t>500</w:t>
      </w:r>
      <w:r>
        <w:rPr>
          <w:rFonts w:ascii="微软雅黑" w:eastAsia="微软雅黑" w:hAnsi="微软雅黑" w:cs="宋体" w:hint="eastAsia"/>
          <w:color w:val="000000"/>
          <w:kern w:val="0"/>
          <w:szCs w:val="21"/>
        </w:rPr>
        <w:t>强企业及国外商会提供进出口货物通关事务的培训与贸易合规咨询工作。</w:t>
      </w:r>
    </w:p>
    <w:p w:rsidR="001346D4" w:rsidRDefault="00B05270">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rsidR="001346D4" w:rsidRDefault="00B05270">
      <w:pPr>
        <w:widowControl/>
        <w:adjustRightInd w:val="0"/>
        <w:snapToGrid w:val="0"/>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主要服务过的客户：</w:t>
      </w:r>
    </w:p>
    <w:p w:rsidR="001346D4" w:rsidRDefault="00B05270">
      <w:pPr>
        <w:widowControl/>
        <w:adjustRightInd w:val="0"/>
        <w:snapToGrid w:val="0"/>
        <w:ind w:firstLineChars="200" w:firstLine="420"/>
        <w:rPr>
          <w:rFonts w:ascii="微软雅黑" w:eastAsia="微软雅黑" w:hAnsi="微软雅黑" w:cs="宋体"/>
          <w:b/>
          <w:bCs/>
          <w:color w:val="000000"/>
          <w:kern w:val="0"/>
          <w:szCs w:val="21"/>
        </w:rPr>
      </w:pPr>
      <w:r>
        <w:rPr>
          <w:rFonts w:ascii="微软雅黑" w:eastAsia="微软雅黑" w:hAnsi="微软雅黑" w:cs="宋体" w:hint="eastAsia"/>
          <w:color w:val="000000"/>
          <w:kern w:val="0"/>
          <w:szCs w:val="21"/>
        </w:rPr>
        <w:t>法国驻上海总领事馆商务处、博世（中国）投资有限公司、金佰利（中国）有限公司、欧莱雅（中国）有限公司、爱玛仕（中国）有限公司、罗地亚（中国）投资有限公司、必维国际检测集团、毕克化学技术咨询（上海）有限公司、中欧纺织联盟、圣戈班研发（上海）有限公司、伊斯拉视像设备制造（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w:t>
      </w:r>
      <w:r>
        <w:rPr>
          <w:rFonts w:ascii="微软雅黑" w:eastAsia="微软雅黑" w:hAnsi="微软雅黑" w:cs="宋体" w:hint="eastAsia"/>
          <w:color w:val="000000"/>
          <w:kern w:val="0"/>
          <w:szCs w:val="21"/>
        </w:rPr>
        <w:t>药有限公司、卓能电子（太仓）有限公司、浙江物产国际贸易有限公司、欧皮特传动系统（太仓）有限公司、吉孚动力总成技术（苏州）有限公司、大陆汽车系统（常熟）有限公司、苏州松下系统科技有限公司‥‥‥</w:t>
      </w:r>
    </w:p>
    <w:p w:rsidR="001346D4" w:rsidRDefault="001346D4">
      <w:pPr>
        <w:widowControl/>
        <w:adjustRightInd w:val="0"/>
        <w:snapToGrid w:val="0"/>
        <w:jc w:val="left"/>
        <w:rPr>
          <w:rFonts w:ascii="微软雅黑" w:eastAsia="微软雅黑" w:hAnsi="微软雅黑" w:cs="宋体"/>
          <w:kern w:val="0"/>
          <w:sz w:val="20"/>
          <w:szCs w:val="20"/>
        </w:rPr>
        <w:sectPr w:rsidR="001346D4">
          <w:type w:val="continuous"/>
          <w:pgSz w:w="11906" w:h="16838"/>
          <w:pgMar w:top="1134" w:right="1286" w:bottom="851" w:left="1134" w:header="851" w:footer="229" w:gutter="0"/>
          <w:pgNumType w:fmt="numberInDash"/>
          <w:cols w:sep="1" w:space="425"/>
          <w:docGrid w:type="linesAndChars" w:linePitch="312"/>
        </w:sectPr>
      </w:pPr>
    </w:p>
    <w:p w:rsidR="001346D4" w:rsidRDefault="001346D4">
      <w:pPr>
        <w:widowControl/>
        <w:adjustRightInd w:val="0"/>
        <w:snapToGrid w:val="0"/>
        <w:jc w:val="left"/>
        <w:rPr>
          <w:rFonts w:ascii="微软雅黑" w:eastAsia="微软雅黑" w:hAnsi="微软雅黑" w:cs="宋体"/>
          <w:kern w:val="0"/>
          <w:sz w:val="20"/>
          <w:szCs w:val="20"/>
        </w:rPr>
        <w:sectPr w:rsidR="001346D4">
          <w:type w:val="continuous"/>
          <w:pgSz w:w="11906" w:h="16838"/>
          <w:pgMar w:top="1134" w:right="1286" w:bottom="851" w:left="1134" w:header="851" w:footer="229" w:gutter="0"/>
          <w:pgNumType w:fmt="numberInDash"/>
          <w:cols w:sep="1" w:space="425"/>
          <w:docGrid w:type="linesAndChars" w:linePitch="312"/>
        </w:sectPr>
      </w:pPr>
    </w:p>
    <w:p w:rsidR="001346D4" w:rsidRDefault="00B05270">
      <w:pPr>
        <w:widowControl/>
        <w:tabs>
          <w:tab w:val="left" w:pos="668"/>
        </w:tabs>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1346D4" w:rsidRDefault="001346D4">
      <w:pPr>
        <w:widowControl/>
        <w:tabs>
          <w:tab w:val="left" w:pos="668"/>
        </w:tabs>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186"/>
        <w:gridCol w:w="1333"/>
        <w:gridCol w:w="2795"/>
      </w:tblGrid>
      <w:tr w:rsidR="001346D4">
        <w:trPr>
          <w:trHeight w:hRule="exact" w:val="436"/>
          <w:jc w:val="center"/>
        </w:trPr>
        <w:tc>
          <w:tcPr>
            <w:tcW w:w="1394" w:type="dxa"/>
            <w:vAlign w:val="center"/>
          </w:tcPr>
          <w:p w:rsidR="001346D4" w:rsidRDefault="00B05270">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1346D4" w:rsidRDefault="001346D4">
            <w:pPr>
              <w:tabs>
                <w:tab w:val="left" w:pos="1080"/>
              </w:tabs>
              <w:spacing w:line="340" w:lineRule="exact"/>
              <w:jc w:val="center"/>
              <w:rPr>
                <w:rFonts w:eastAsia="微软雅黑"/>
                <w:b/>
                <w:kern w:val="10"/>
                <w:sz w:val="24"/>
              </w:rPr>
            </w:pPr>
          </w:p>
        </w:tc>
        <w:tc>
          <w:tcPr>
            <w:tcW w:w="1333" w:type="dxa"/>
            <w:vAlign w:val="center"/>
          </w:tcPr>
          <w:p w:rsidR="001346D4" w:rsidRDefault="00B05270">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1346D4" w:rsidRDefault="001346D4">
            <w:pPr>
              <w:tabs>
                <w:tab w:val="left" w:pos="1080"/>
              </w:tabs>
              <w:spacing w:line="340" w:lineRule="exact"/>
              <w:jc w:val="center"/>
              <w:rPr>
                <w:rFonts w:eastAsia="微软雅黑"/>
                <w:b/>
                <w:kern w:val="10"/>
                <w:sz w:val="24"/>
              </w:rPr>
            </w:pPr>
          </w:p>
        </w:tc>
      </w:tr>
      <w:tr w:rsidR="001346D4">
        <w:trPr>
          <w:trHeight w:hRule="exact" w:val="544"/>
          <w:jc w:val="center"/>
        </w:trPr>
        <w:tc>
          <w:tcPr>
            <w:tcW w:w="3457" w:type="dxa"/>
            <w:gridSpan w:val="3"/>
            <w:vAlign w:val="center"/>
          </w:tcPr>
          <w:p w:rsidR="001346D4" w:rsidRDefault="00B05270">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1346D4" w:rsidRDefault="00B05270">
            <w:pPr>
              <w:tabs>
                <w:tab w:val="left" w:pos="1080"/>
              </w:tabs>
              <w:spacing w:line="340" w:lineRule="exact"/>
              <w:rPr>
                <w:rFonts w:eastAsia="微软雅黑"/>
                <w:b/>
                <w:kern w:val="10"/>
                <w:sz w:val="24"/>
              </w:rPr>
            </w:pPr>
            <w:r>
              <w:rPr>
                <w:rFonts w:eastAsia="微软雅黑"/>
                <w:b/>
                <w:kern w:val="10"/>
                <w:sz w:val="24"/>
              </w:rPr>
              <w:t>公司名称：</w:t>
            </w:r>
          </w:p>
        </w:tc>
      </w:tr>
      <w:tr w:rsidR="001346D4">
        <w:trPr>
          <w:trHeight w:hRule="exact" w:val="436"/>
          <w:jc w:val="center"/>
        </w:trPr>
        <w:tc>
          <w:tcPr>
            <w:tcW w:w="1394" w:type="dxa"/>
            <w:vAlign w:val="center"/>
          </w:tcPr>
          <w:p w:rsidR="001346D4" w:rsidRDefault="00B05270">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1346D4" w:rsidRDefault="00B05270">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1346D4" w:rsidRDefault="00B05270">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1346D4" w:rsidRDefault="00B05270">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8" w:type="dxa"/>
            <w:gridSpan w:val="2"/>
            <w:vAlign w:val="center"/>
          </w:tcPr>
          <w:p w:rsidR="001346D4" w:rsidRDefault="00B05270">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1346D4">
        <w:trPr>
          <w:trHeight w:hRule="exact" w:val="440"/>
          <w:jc w:val="center"/>
        </w:trPr>
        <w:tc>
          <w:tcPr>
            <w:tcW w:w="1394" w:type="dxa"/>
          </w:tcPr>
          <w:p w:rsidR="001346D4" w:rsidRDefault="001346D4">
            <w:pPr>
              <w:spacing w:line="340" w:lineRule="exact"/>
              <w:jc w:val="center"/>
              <w:rPr>
                <w:rFonts w:eastAsia="微软雅黑"/>
                <w:sz w:val="24"/>
              </w:rPr>
            </w:pPr>
          </w:p>
        </w:tc>
        <w:tc>
          <w:tcPr>
            <w:tcW w:w="709" w:type="dxa"/>
          </w:tcPr>
          <w:p w:rsidR="001346D4" w:rsidRDefault="001346D4">
            <w:pPr>
              <w:spacing w:line="340" w:lineRule="exact"/>
              <w:jc w:val="center"/>
              <w:rPr>
                <w:rFonts w:eastAsia="微软雅黑"/>
                <w:sz w:val="24"/>
              </w:rPr>
            </w:pPr>
          </w:p>
        </w:tc>
        <w:tc>
          <w:tcPr>
            <w:tcW w:w="1354" w:type="dxa"/>
          </w:tcPr>
          <w:p w:rsidR="001346D4" w:rsidRDefault="001346D4">
            <w:pPr>
              <w:spacing w:line="340" w:lineRule="exact"/>
              <w:jc w:val="center"/>
              <w:rPr>
                <w:rFonts w:eastAsia="微软雅黑"/>
                <w:sz w:val="24"/>
              </w:rPr>
            </w:pPr>
          </w:p>
        </w:tc>
        <w:tc>
          <w:tcPr>
            <w:tcW w:w="2186" w:type="dxa"/>
          </w:tcPr>
          <w:p w:rsidR="001346D4" w:rsidRDefault="001346D4">
            <w:pPr>
              <w:spacing w:line="340" w:lineRule="exact"/>
              <w:jc w:val="center"/>
              <w:rPr>
                <w:rFonts w:eastAsia="微软雅黑"/>
                <w:sz w:val="24"/>
              </w:rPr>
            </w:pPr>
          </w:p>
        </w:tc>
        <w:tc>
          <w:tcPr>
            <w:tcW w:w="4128" w:type="dxa"/>
            <w:gridSpan w:val="2"/>
          </w:tcPr>
          <w:p w:rsidR="001346D4" w:rsidRDefault="001346D4">
            <w:pPr>
              <w:spacing w:line="340" w:lineRule="exact"/>
              <w:jc w:val="center"/>
              <w:rPr>
                <w:rFonts w:eastAsia="微软雅黑"/>
                <w:sz w:val="24"/>
              </w:rPr>
            </w:pPr>
          </w:p>
        </w:tc>
      </w:tr>
      <w:tr w:rsidR="001346D4">
        <w:trPr>
          <w:trHeight w:hRule="exact" w:val="440"/>
          <w:jc w:val="center"/>
        </w:trPr>
        <w:tc>
          <w:tcPr>
            <w:tcW w:w="1394" w:type="dxa"/>
          </w:tcPr>
          <w:p w:rsidR="001346D4" w:rsidRDefault="001346D4">
            <w:pPr>
              <w:spacing w:line="340" w:lineRule="exact"/>
              <w:jc w:val="center"/>
              <w:rPr>
                <w:rFonts w:eastAsia="微软雅黑"/>
                <w:sz w:val="24"/>
              </w:rPr>
            </w:pPr>
          </w:p>
        </w:tc>
        <w:tc>
          <w:tcPr>
            <w:tcW w:w="709" w:type="dxa"/>
          </w:tcPr>
          <w:p w:rsidR="001346D4" w:rsidRDefault="001346D4">
            <w:pPr>
              <w:spacing w:line="340" w:lineRule="exact"/>
              <w:jc w:val="center"/>
              <w:rPr>
                <w:rFonts w:eastAsia="微软雅黑"/>
                <w:sz w:val="24"/>
              </w:rPr>
            </w:pPr>
          </w:p>
        </w:tc>
        <w:tc>
          <w:tcPr>
            <w:tcW w:w="1354" w:type="dxa"/>
          </w:tcPr>
          <w:p w:rsidR="001346D4" w:rsidRDefault="001346D4">
            <w:pPr>
              <w:spacing w:line="340" w:lineRule="exact"/>
              <w:jc w:val="center"/>
              <w:rPr>
                <w:rFonts w:eastAsia="微软雅黑"/>
                <w:sz w:val="24"/>
              </w:rPr>
            </w:pPr>
          </w:p>
        </w:tc>
        <w:tc>
          <w:tcPr>
            <w:tcW w:w="2186" w:type="dxa"/>
          </w:tcPr>
          <w:p w:rsidR="001346D4" w:rsidRDefault="001346D4">
            <w:pPr>
              <w:spacing w:line="340" w:lineRule="exact"/>
              <w:jc w:val="center"/>
              <w:rPr>
                <w:rFonts w:eastAsia="微软雅黑"/>
                <w:sz w:val="24"/>
              </w:rPr>
            </w:pPr>
          </w:p>
        </w:tc>
        <w:tc>
          <w:tcPr>
            <w:tcW w:w="4128" w:type="dxa"/>
            <w:gridSpan w:val="2"/>
          </w:tcPr>
          <w:p w:rsidR="001346D4" w:rsidRDefault="001346D4">
            <w:pPr>
              <w:spacing w:line="340" w:lineRule="exact"/>
              <w:jc w:val="center"/>
              <w:rPr>
                <w:rFonts w:eastAsia="微软雅黑"/>
                <w:sz w:val="24"/>
              </w:rPr>
            </w:pPr>
          </w:p>
        </w:tc>
      </w:tr>
      <w:tr w:rsidR="001346D4">
        <w:trPr>
          <w:trHeight w:hRule="exact" w:val="436"/>
          <w:jc w:val="center"/>
        </w:trPr>
        <w:tc>
          <w:tcPr>
            <w:tcW w:w="1394" w:type="dxa"/>
          </w:tcPr>
          <w:p w:rsidR="001346D4" w:rsidRDefault="001346D4">
            <w:pPr>
              <w:spacing w:line="340" w:lineRule="exact"/>
              <w:jc w:val="center"/>
              <w:rPr>
                <w:rFonts w:eastAsia="微软雅黑"/>
                <w:sz w:val="24"/>
              </w:rPr>
            </w:pPr>
          </w:p>
        </w:tc>
        <w:tc>
          <w:tcPr>
            <w:tcW w:w="709" w:type="dxa"/>
          </w:tcPr>
          <w:p w:rsidR="001346D4" w:rsidRDefault="001346D4">
            <w:pPr>
              <w:spacing w:line="340" w:lineRule="exact"/>
              <w:jc w:val="center"/>
              <w:rPr>
                <w:rFonts w:eastAsia="微软雅黑"/>
                <w:sz w:val="24"/>
              </w:rPr>
            </w:pPr>
          </w:p>
        </w:tc>
        <w:tc>
          <w:tcPr>
            <w:tcW w:w="1354" w:type="dxa"/>
          </w:tcPr>
          <w:p w:rsidR="001346D4" w:rsidRDefault="001346D4">
            <w:pPr>
              <w:spacing w:line="340" w:lineRule="exact"/>
              <w:jc w:val="center"/>
              <w:rPr>
                <w:rFonts w:eastAsia="微软雅黑"/>
                <w:sz w:val="24"/>
              </w:rPr>
            </w:pPr>
          </w:p>
        </w:tc>
        <w:tc>
          <w:tcPr>
            <w:tcW w:w="2186" w:type="dxa"/>
          </w:tcPr>
          <w:p w:rsidR="001346D4" w:rsidRDefault="001346D4">
            <w:pPr>
              <w:spacing w:line="340" w:lineRule="exact"/>
              <w:jc w:val="center"/>
              <w:rPr>
                <w:rFonts w:eastAsia="微软雅黑"/>
                <w:sz w:val="24"/>
              </w:rPr>
            </w:pPr>
          </w:p>
        </w:tc>
        <w:tc>
          <w:tcPr>
            <w:tcW w:w="4128" w:type="dxa"/>
            <w:gridSpan w:val="2"/>
          </w:tcPr>
          <w:p w:rsidR="001346D4" w:rsidRDefault="001346D4">
            <w:pPr>
              <w:spacing w:line="340" w:lineRule="exact"/>
              <w:jc w:val="center"/>
              <w:rPr>
                <w:rFonts w:eastAsia="微软雅黑"/>
                <w:sz w:val="24"/>
              </w:rPr>
            </w:pPr>
          </w:p>
        </w:tc>
      </w:tr>
      <w:tr w:rsidR="001346D4">
        <w:trPr>
          <w:trHeight w:hRule="exact" w:val="1677"/>
          <w:jc w:val="center"/>
        </w:trPr>
        <w:tc>
          <w:tcPr>
            <w:tcW w:w="5643" w:type="dxa"/>
            <w:gridSpan w:val="4"/>
            <w:vAlign w:val="center"/>
          </w:tcPr>
          <w:p w:rsidR="001346D4" w:rsidRDefault="00B05270">
            <w:pPr>
              <w:adjustRightInd w:val="0"/>
              <w:snapToGrid w:val="0"/>
              <w:rPr>
                <w:rFonts w:eastAsia="微软雅黑"/>
                <w:b/>
                <w:sz w:val="22"/>
              </w:rPr>
            </w:pPr>
            <w:r>
              <w:rPr>
                <w:rFonts w:eastAsia="微软雅黑" w:hint="eastAsia"/>
                <w:b/>
                <w:sz w:val="22"/>
              </w:rPr>
              <w:t>帕迪公司账户信息：</w:t>
            </w:r>
          </w:p>
          <w:p w:rsidR="001346D4" w:rsidRDefault="00B05270">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1346D4" w:rsidRDefault="00B05270">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1346D4" w:rsidRDefault="00B05270">
            <w:pPr>
              <w:adjustRightInd w:val="0"/>
              <w:snapToGrid w:val="0"/>
              <w:rPr>
                <w:rFonts w:eastAsia="微软雅黑"/>
                <w:b/>
                <w:kern w:val="10"/>
                <w:sz w:val="24"/>
              </w:rPr>
            </w:pPr>
            <w:r>
              <w:rPr>
                <w:rFonts w:eastAsia="微软雅黑" w:hint="eastAsia"/>
                <w:sz w:val="22"/>
              </w:rPr>
              <w:t>开户银行：农业银行上海市复旦支行</w:t>
            </w:r>
          </w:p>
        </w:tc>
        <w:tc>
          <w:tcPr>
            <w:tcW w:w="4128" w:type="dxa"/>
            <w:gridSpan w:val="2"/>
            <w:vAlign w:val="center"/>
          </w:tcPr>
          <w:p w:rsidR="001346D4" w:rsidRDefault="00B05270">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1346D4" w:rsidRDefault="00B05270">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1346D4" w:rsidRDefault="00B05270">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1346D4" w:rsidRDefault="001346D4">
            <w:pPr>
              <w:shd w:val="solid" w:color="FFFFFF" w:fill="auto"/>
              <w:autoSpaceDN w:val="0"/>
              <w:spacing w:line="360" w:lineRule="exact"/>
              <w:textAlignment w:val="baseline"/>
              <w:rPr>
                <w:rFonts w:eastAsia="微软雅黑"/>
                <w:szCs w:val="21"/>
              </w:rPr>
            </w:pPr>
          </w:p>
        </w:tc>
      </w:tr>
    </w:tbl>
    <w:p w:rsidR="001346D4" w:rsidRDefault="001346D4">
      <w:pPr>
        <w:widowControl/>
        <w:tabs>
          <w:tab w:val="left" w:pos="475"/>
        </w:tabs>
        <w:adjustRightInd w:val="0"/>
        <w:snapToGrid w:val="0"/>
        <w:ind w:left="108"/>
        <w:jc w:val="left"/>
        <w:rPr>
          <w:rFonts w:ascii="微软雅黑" w:eastAsia="微软雅黑" w:hAnsi="微软雅黑" w:cs="宋体"/>
          <w:kern w:val="0"/>
          <w:sz w:val="20"/>
          <w:szCs w:val="20"/>
        </w:rPr>
      </w:pPr>
    </w:p>
    <w:sectPr w:rsidR="001346D4">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270" w:rsidRDefault="00B05270">
      <w:r>
        <w:separator/>
      </w:r>
    </w:p>
  </w:endnote>
  <w:endnote w:type="continuationSeparator" w:id="0">
    <w:p w:rsidR="00B05270" w:rsidRDefault="00B0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6D4" w:rsidRDefault="00B05270">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3E96217B"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1346D4" w:rsidRDefault="001346D4">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270" w:rsidRDefault="00B05270">
      <w:r>
        <w:separator/>
      </w:r>
    </w:p>
  </w:footnote>
  <w:footnote w:type="continuationSeparator" w:id="0">
    <w:p w:rsidR="00B05270" w:rsidRDefault="00B0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6D4" w:rsidRDefault="00B05270">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37D5"/>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46D4"/>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D101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6ABD"/>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482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59A"/>
    <w:rsid w:val="005B0CB4"/>
    <w:rsid w:val="005B6DA2"/>
    <w:rsid w:val="005B74B8"/>
    <w:rsid w:val="005C093C"/>
    <w:rsid w:val="005C0CAD"/>
    <w:rsid w:val="005D0511"/>
    <w:rsid w:val="005D0CA1"/>
    <w:rsid w:val="005D390C"/>
    <w:rsid w:val="005D5877"/>
    <w:rsid w:val="005E77F4"/>
    <w:rsid w:val="005F00C7"/>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1F5B"/>
    <w:rsid w:val="006424D6"/>
    <w:rsid w:val="00643F7D"/>
    <w:rsid w:val="00647E7B"/>
    <w:rsid w:val="0065225A"/>
    <w:rsid w:val="00654F17"/>
    <w:rsid w:val="00655DAF"/>
    <w:rsid w:val="006613EE"/>
    <w:rsid w:val="00665C2A"/>
    <w:rsid w:val="006722CF"/>
    <w:rsid w:val="00673EF1"/>
    <w:rsid w:val="00675EB1"/>
    <w:rsid w:val="00685873"/>
    <w:rsid w:val="00687CB2"/>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398F"/>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52F51"/>
    <w:rsid w:val="00763D49"/>
    <w:rsid w:val="00766722"/>
    <w:rsid w:val="00771E54"/>
    <w:rsid w:val="007759A9"/>
    <w:rsid w:val="0078266A"/>
    <w:rsid w:val="0078274F"/>
    <w:rsid w:val="00787A68"/>
    <w:rsid w:val="00792A90"/>
    <w:rsid w:val="00795D65"/>
    <w:rsid w:val="007A0DEB"/>
    <w:rsid w:val="007A2C78"/>
    <w:rsid w:val="007A2D21"/>
    <w:rsid w:val="007A2EA9"/>
    <w:rsid w:val="007B19E6"/>
    <w:rsid w:val="007B275E"/>
    <w:rsid w:val="007B5A65"/>
    <w:rsid w:val="007C3F5B"/>
    <w:rsid w:val="007C4B64"/>
    <w:rsid w:val="007C511D"/>
    <w:rsid w:val="007D2493"/>
    <w:rsid w:val="007D33F0"/>
    <w:rsid w:val="007D3FAB"/>
    <w:rsid w:val="007D4679"/>
    <w:rsid w:val="007D62D5"/>
    <w:rsid w:val="007D75AE"/>
    <w:rsid w:val="007E0FF3"/>
    <w:rsid w:val="007E3BF2"/>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189"/>
    <w:rsid w:val="00867C7B"/>
    <w:rsid w:val="008700D9"/>
    <w:rsid w:val="0087318A"/>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0FD7"/>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A17"/>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09A4"/>
    <w:rsid w:val="00A618A3"/>
    <w:rsid w:val="00A720C6"/>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5270"/>
    <w:rsid w:val="00B062F7"/>
    <w:rsid w:val="00B111B4"/>
    <w:rsid w:val="00B13127"/>
    <w:rsid w:val="00B164A8"/>
    <w:rsid w:val="00B20517"/>
    <w:rsid w:val="00B206E1"/>
    <w:rsid w:val="00B20AA5"/>
    <w:rsid w:val="00B25817"/>
    <w:rsid w:val="00B262E8"/>
    <w:rsid w:val="00B26B0A"/>
    <w:rsid w:val="00B32212"/>
    <w:rsid w:val="00B3376F"/>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374D"/>
    <w:rsid w:val="00BD4F7C"/>
    <w:rsid w:val="00BD6066"/>
    <w:rsid w:val="00BE0586"/>
    <w:rsid w:val="00BE0B10"/>
    <w:rsid w:val="00BE1D3D"/>
    <w:rsid w:val="00BE2627"/>
    <w:rsid w:val="00BF58C3"/>
    <w:rsid w:val="00BF6866"/>
    <w:rsid w:val="00BF74D8"/>
    <w:rsid w:val="00C025B5"/>
    <w:rsid w:val="00C11BD6"/>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6DD4"/>
    <w:rsid w:val="00C67C5E"/>
    <w:rsid w:val="00C724AC"/>
    <w:rsid w:val="00C77964"/>
    <w:rsid w:val="00C86C83"/>
    <w:rsid w:val="00C8784D"/>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4863"/>
    <w:rsid w:val="00ED753A"/>
    <w:rsid w:val="00EE25C8"/>
    <w:rsid w:val="00EE2DBF"/>
    <w:rsid w:val="00EE4D0A"/>
    <w:rsid w:val="00EE5202"/>
    <w:rsid w:val="00EE5EE0"/>
    <w:rsid w:val="00EF3504"/>
    <w:rsid w:val="00EF3646"/>
    <w:rsid w:val="00EF560E"/>
    <w:rsid w:val="00EF6EA6"/>
    <w:rsid w:val="00F02461"/>
    <w:rsid w:val="00F02A23"/>
    <w:rsid w:val="00F043C2"/>
    <w:rsid w:val="00F0552C"/>
    <w:rsid w:val="00F100A2"/>
    <w:rsid w:val="00F16A83"/>
    <w:rsid w:val="00F202E1"/>
    <w:rsid w:val="00F221D9"/>
    <w:rsid w:val="00F264ED"/>
    <w:rsid w:val="00F37754"/>
    <w:rsid w:val="00F41F67"/>
    <w:rsid w:val="00F45439"/>
    <w:rsid w:val="00F462D5"/>
    <w:rsid w:val="00F5189F"/>
    <w:rsid w:val="00F605A7"/>
    <w:rsid w:val="00F614BE"/>
    <w:rsid w:val="00F61763"/>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F4B291E"/>
    <w:rsid w:val="4F193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68829595"/>
  <w15:docId w15:val="{F1500C46-A676-42B5-9EA1-796F410B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6EA70-B824-4C4C-BC7F-33A9008E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201</cp:revision>
  <cp:lastPrinted>2007-07-25T08:25:00Z</cp:lastPrinted>
  <dcterms:created xsi:type="dcterms:W3CDTF">2014-12-01T08:48:00Z</dcterms:created>
  <dcterms:modified xsi:type="dcterms:W3CDTF">2018-12-17T05:41:00Z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