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E8" w:rsidRDefault="00090EE8">
      <w:pPr>
        <w:rPr>
          <w:rFonts w:ascii="楷体_GB2312" w:eastAsia="楷体_GB2312" w:hAnsi="宋体"/>
          <w:b/>
          <w:bCs/>
          <w:color w:val="000000" w:themeColor="text1"/>
          <w:szCs w:val="36"/>
        </w:rPr>
      </w:pPr>
    </w:p>
    <w:p w:rsidR="00090EE8" w:rsidRDefault="00932B38">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采购必备的财税知识与技能训练</w:t>
      </w:r>
    </w:p>
    <w:p w:rsidR="00090EE8" w:rsidRDefault="00932B38">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szCs w:val="21"/>
        </w:rPr>
        <w:t>【报名热线】</w:t>
      </w:r>
      <w:r>
        <w:rPr>
          <w:rFonts w:ascii="微软雅黑" w:eastAsia="微软雅黑" w:hAnsi="微软雅黑" w:hint="eastAsia"/>
          <w:b/>
          <w:color w:val="000000" w:themeColor="text1"/>
          <w:szCs w:val="21"/>
        </w:rPr>
        <w:t>400-086-8596</w:t>
      </w:r>
    </w:p>
    <w:p w:rsidR="00090EE8" w:rsidRDefault="00932B38">
      <w:pPr>
        <w:adjustRightInd w:val="0"/>
        <w:snapToGrid w:val="0"/>
        <w:spacing w:line="276" w:lineRule="auto"/>
        <w:ind w:left="1260" w:hangingChars="600" w:hanging="1260"/>
        <w:rPr>
          <w:rFonts w:ascii="微软雅黑" w:eastAsia="微软雅黑" w:hAnsi="微软雅黑"/>
          <w:szCs w:val="21"/>
        </w:rPr>
      </w:pPr>
      <w:bookmarkStart w:id="0" w:name="_GoBack"/>
      <w:bookmarkEnd w:id="0"/>
      <w:r>
        <w:rPr>
          <w:rFonts w:ascii="微软雅黑" w:eastAsia="微软雅黑" w:hAnsi="微软雅黑" w:hint="eastAsia"/>
          <w:b/>
          <w:szCs w:val="21"/>
        </w:rPr>
        <w:t>【培训对象】</w:t>
      </w:r>
      <w:r>
        <w:rPr>
          <w:rFonts w:ascii="微软雅黑" w:eastAsia="微软雅黑" w:hAnsi="微软雅黑" w:hint="eastAsia"/>
          <w:szCs w:val="21"/>
        </w:rPr>
        <w:t>供应链管理经理、采购经理、、物流经理、计划经理、供应商管理、库存管理人员等相关人士。</w:t>
      </w:r>
    </w:p>
    <w:p w:rsidR="00090EE8" w:rsidRDefault="00932B38">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4200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090EE8" w:rsidRDefault="00932B38">
      <w:pPr>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A81C4B5"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090EE8" w:rsidRDefault="00090EE8">
      <w:pPr>
        <w:rPr>
          <w:rFonts w:hAnsi="宋体" w:cs="Calibri"/>
          <w:b/>
          <w:color w:val="990000"/>
          <w:sz w:val="20"/>
        </w:rPr>
        <w:sectPr w:rsidR="00090EE8">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090EE8" w:rsidRDefault="00932B38">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课程背景：</w:t>
      </w:r>
    </w:p>
    <w:p w:rsidR="00090EE8" w:rsidRDefault="00932B38">
      <w:pPr>
        <w:adjustRightInd w:val="0"/>
        <w:snapToGrid w:val="0"/>
        <w:ind w:firstLineChars="150" w:firstLine="315"/>
        <w:rPr>
          <w:rFonts w:ascii="微软雅黑" w:eastAsia="微软雅黑" w:hAnsi="微软雅黑"/>
          <w:color w:val="000000" w:themeColor="text1"/>
          <w:szCs w:val="21"/>
        </w:rPr>
      </w:pP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企业财务绩效通常是</w:t>
      </w:r>
      <w:r>
        <w:rPr>
          <w:rFonts w:ascii="微软雅黑" w:eastAsia="微软雅黑" w:hAnsi="微软雅黑" w:hint="eastAsia"/>
          <w:color w:val="000000" w:themeColor="text1"/>
          <w:szCs w:val="21"/>
        </w:rPr>
        <w:t>CEO</w:t>
      </w:r>
      <w:r>
        <w:rPr>
          <w:rFonts w:ascii="微软雅黑" w:eastAsia="微软雅黑" w:hAnsi="微软雅黑" w:hint="eastAsia"/>
          <w:color w:val="000000" w:themeColor="text1"/>
          <w:szCs w:val="21"/>
        </w:rPr>
        <w:t>和</w:t>
      </w:r>
      <w:r>
        <w:rPr>
          <w:rFonts w:ascii="微软雅黑" w:eastAsia="微软雅黑" w:hAnsi="微软雅黑" w:hint="eastAsia"/>
          <w:color w:val="000000" w:themeColor="text1"/>
          <w:szCs w:val="21"/>
        </w:rPr>
        <w:t>CFO</w:t>
      </w:r>
      <w:r>
        <w:rPr>
          <w:rFonts w:ascii="微软雅黑" w:eastAsia="微软雅黑" w:hAnsi="微软雅黑" w:hint="eastAsia"/>
          <w:color w:val="000000" w:themeColor="text1"/>
          <w:szCs w:val="21"/>
        </w:rPr>
        <w:t>最关注的考核指标，作为一名专业的供应链管理人员必须要了解我们的工作如何影响企业的财务指标，供应链管理的价值和绩效如何用</w:t>
      </w:r>
      <w:r>
        <w:rPr>
          <w:rFonts w:ascii="微软雅黑" w:eastAsia="微软雅黑" w:hAnsi="微软雅黑" w:hint="eastAsia"/>
          <w:color w:val="000000" w:themeColor="text1"/>
          <w:szCs w:val="21"/>
        </w:rPr>
        <w:t>CEO</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CFO</w:t>
      </w:r>
      <w:r>
        <w:rPr>
          <w:rFonts w:ascii="微软雅黑" w:eastAsia="微软雅黑" w:hAnsi="微软雅黑" w:hint="eastAsia"/>
          <w:color w:val="000000" w:themeColor="text1"/>
          <w:szCs w:val="21"/>
        </w:rPr>
        <w:t>容易理解的财务语言表达，如何借助财务分析工具和知识帮助我们做出正确的采购决策，改善供应链管理绩效，规避供应链管理中的财务风险……</w:t>
      </w:r>
      <w:proofErr w:type="gramStart"/>
      <w:r>
        <w:rPr>
          <w:rFonts w:ascii="微软雅黑" w:eastAsia="微软雅黑" w:hAnsi="微软雅黑" w:hint="eastAsia"/>
          <w:color w:val="000000" w:themeColor="text1"/>
          <w:szCs w:val="21"/>
        </w:rPr>
        <w:t>…</w:t>
      </w:r>
      <w:proofErr w:type="gramEnd"/>
    </w:p>
    <w:p w:rsidR="00090EE8" w:rsidRDefault="00932B38">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本课程在</w:t>
      </w: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天</w:t>
      </w:r>
      <w:r>
        <w:rPr>
          <w:rFonts w:ascii="微软雅黑" w:eastAsia="微软雅黑" w:hAnsi="微软雅黑" w:hint="eastAsia"/>
          <w:color w:val="000000" w:themeColor="text1"/>
          <w:szCs w:val="21"/>
        </w:rPr>
        <w:t>14</w:t>
      </w:r>
      <w:r>
        <w:rPr>
          <w:rFonts w:ascii="微软雅黑" w:eastAsia="微软雅黑" w:hAnsi="微软雅黑" w:hint="eastAsia"/>
          <w:color w:val="000000" w:themeColor="text1"/>
          <w:szCs w:val="21"/>
        </w:rPr>
        <w:t>个小时的课程，辅以</w:t>
      </w: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个桌面互动游戏，</w:t>
      </w:r>
      <w:r>
        <w:rPr>
          <w:rFonts w:ascii="微软雅黑" w:eastAsia="微软雅黑" w:hAnsi="微软雅黑" w:hint="eastAsia"/>
          <w:color w:val="000000" w:themeColor="text1"/>
          <w:szCs w:val="21"/>
        </w:rPr>
        <w:t>6</w:t>
      </w:r>
      <w:r>
        <w:rPr>
          <w:rFonts w:ascii="微软雅黑" w:eastAsia="微软雅黑" w:hAnsi="微软雅黑" w:hint="eastAsia"/>
          <w:color w:val="000000" w:themeColor="text1"/>
          <w:szCs w:val="21"/>
        </w:rPr>
        <w:t>个案例分析，非常有针对性的进行演练与说明，同时讲师结合自身</w:t>
      </w: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余年采购管理经验，使课程具有很高的实用性！</w:t>
      </w:r>
    </w:p>
    <w:p w:rsidR="00090EE8" w:rsidRDefault="00932B38">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课程收益：</w:t>
      </w:r>
    </w:p>
    <w:p w:rsidR="00090EE8" w:rsidRDefault="00932B38">
      <w:pPr>
        <w:pStyle w:val="ac"/>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掌握基本的财务知识，读懂常用财务报表</w:t>
      </w:r>
    </w:p>
    <w:p w:rsidR="00090EE8" w:rsidRDefault="00932B38">
      <w:pPr>
        <w:pStyle w:val="ac"/>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掌握三</w:t>
      </w:r>
      <w:r>
        <w:rPr>
          <w:rFonts w:ascii="微软雅黑" w:eastAsia="微软雅黑" w:hAnsi="微软雅黑" w:hint="eastAsia"/>
          <w:color w:val="000000" w:themeColor="text1"/>
          <w:szCs w:val="21"/>
        </w:rPr>
        <w:t>大主要的财务分析指标和改善方法</w:t>
      </w:r>
    </w:p>
    <w:p w:rsidR="00090EE8" w:rsidRDefault="00932B38">
      <w:pPr>
        <w:pStyle w:val="ac"/>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建立清晰的风险控制意识，强化现金流意识，提高资金运作效率</w:t>
      </w:r>
    </w:p>
    <w:p w:rsidR="00090EE8" w:rsidRDefault="00932B38">
      <w:pPr>
        <w:pStyle w:val="ac"/>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理解成本的分类和成本分析方法</w:t>
      </w:r>
    </w:p>
    <w:p w:rsidR="00090EE8" w:rsidRDefault="00932B38">
      <w:pPr>
        <w:pStyle w:val="ac"/>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掌握如何运用财务知识分析供应链成本</w:t>
      </w:r>
    </w:p>
    <w:p w:rsidR="00090EE8" w:rsidRDefault="00932B38">
      <w:pPr>
        <w:pStyle w:val="ac"/>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了解企业相关的税和优化方法</w:t>
      </w:r>
    </w:p>
    <w:p w:rsidR="00090EE8" w:rsidRDefault="00932B38">
      <w:pPr>
        <w:pStyle w:val="ac"/>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运用</w:t>
      </w:r>
      <w:r>
        <w:rPr>
          <w:rFonts w:ascii="微软雅黑" w:eastAsia="微软雅黑" w:hAnsi="微软雅黑" w:hint="eastAsia"/>
          <w:color w:val="000000" w:themeColor="text1"/>
          <w:szCs w:val="21"/>
        </w:rPr>
        <w:t>TCO</w:t>
      </w:r>
      <w:r>
        <w:rPr>
          <w:rFonts w:ascii="微软雅黑" w:eastAsia="微软雅黑" w:hAnsi="微软雅黑" w:hint="eastAsia"/>
          <w:color w:val="000000" w:themeColor="text1"/>
          <w:szCs w:val="21"/>
        </w:rPr>
        <w:t>模型分析产品生命周期的总成本</w:t>
      </w:r>
    </w:p>
    <w:p w:rsidR="00090EE8" w:rsidRDefault="00090EE8">
      <w:pPr>
        <w:widowControl/>
        <w:adjustRightInd w:val="0"/>
        <w:snapToGrid w:val="0"/>
        <w:rPr>
          <w:rFonts w:ascii="微软雅黑" w:eastAsia="微软雅黑" w:hAnsi="微软雅黑"/>
          <w:b/>
          <w:color w:val="00B0F0"/>
          <w:sz w:val="24"/>
        </w:rPr>
        <w:sectPr w:rsidR="00090EE8">
          <w:type w:val="continuous"/>
          <w:pgSz w:w="11906" w:h="16838"/>
          <w:pgMar w:top="1134" w:right="1286" w:bottom="851" w:left="1134" w:header="851" w:footer="229" w:gutter="0"/>
          <w:pgNumType w:fmt="numberInDash"/>
          <w:cols w:sep="1" w:space="425"/>
          <w:docGrid w:type="linesAndChars" w:linePitch="312"/>
        </w:sectPr>
      </w:pPr>
    </w:p>
    <w:p w:rsidR="00090EE8" w:rsidRDefault="00932B38">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课程大纲：</w:t>
      </w:r>
    </w:p>
    <w:p w:rsidR="00090EE8" w:rsidRDefault="00090EE8">
      <w:pPr>
        <w:adjustRightInd w:val="0"/>
        <w:snapToGrid w:val="0"/>
        <w:rPr>
          <w:rFonts w:ascii="微软雅黑" w:eastAsia="微软雅黑" w:hAnsi="微软雅黑" w:cs="宋体"/>
          <w:b/>
          <w:kern w:val="0"/>
          <w:sz w:val="20"/>
          <w:szCs w:val="20"/>
        </w:rPr>
        <w:sectPr w:rsidR="00090EE8">
          <w:type w:val="continuous"/>
          <w:pgSz w:w="11906" w:h="16838"/>
          <w:pgMar w:top="1134" w:right="1286" w:bottom="851" w:left="1134" w:header="851" w:footer="229" w:gutter="0"/>
          <w:pgNumType w:fmt="numberInDash"/>
          <w:cols w:num="2" w:sep="1" w:space="425"/>
          <w:docGrid w:type="linesAndChars" w:linePitch="312"/>
        </w:sectPr>
      </w:pPr>
    </w:p>
    <w:p w:rsidR="00090EE8" w:rsidRDefault="00932B3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一、财务报表阅读和分析</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财务分析目的和对象</w:t>
      </w:r>
    </w:p>
    <w:p w:rsidR="00090EE8" w:rsidRDefault="00932B38">
      <w:pPr>
        <w:pStyle w:val="ac"/>
        <w:numPr>
          <w:ilvl w:val="0"/>
          <w:numId w:val="3"/>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现有供应商</w:t>
      </w:r>
    </w:p>
    <w:p w:rsidR="00090EE8" w:rsidRDefault="00932B38">
      <w:pPr>
        <w:pStyle w:val="ac"/>
        <w:numPr>
          <w:ilvl w:val="0"/>
          <w:numId w:val="3"/>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潜在供应商</w:t>
      </w:r>
    </w:p>
    <w:p w:rsidR="00090EE8" w:rsidRDefault="00932B38">
      <w:pPr>
        <w:pStyle w:val="ac"/>
        <w:numPr>
          <w:ilvl w:val="0"/>
          <w:numId w:val="3"/>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公司本身</w:t>
      </w:r>
    </w:p>
    <w:p w:rsidR="00090EE8" w:rsidRDefault="00932B38">
      <w:pPr>
        <w:pStyle w:val="ac"/>
        <w:numPr>
          <w:ilvl w:val="0"/>
          <w:numId w:val="3"/>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公司竞争对手</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对供应商做财务分析和评估的目的</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三个主要的财务报表</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对供应商做财务分析之前需要考虑的问题</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资产负债表解读</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收入表解读</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现金流解读</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关键财务绩效指标分析</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偿付能力指标</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运营效率指标</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lastRenderedPageBreak/>
        <w:t>盈利能力指标</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杜邦分析</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现金流周转率</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供应链管理绩效指标分析</w:t>
      </w:r>
    </w:p>
    <w:p w:rsidR="00090EE8" w:rsidRDefault="00932B38">
      <w:pPr>
        <w:pStyle w:val="ac"/>
        <w:numPr>
          <w:ilvl w:val="0"/>
          <w:numId w:val="2"/>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财务模拟游戏</w:t>
      </w:r>
    </w:p>
    <w:p w:rsidR="00090EE8" w:rsidRDefault="00932B3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二、成本分析和管理</w:t>
      </w:r>
    </w:p>
    <w:p w:rsidR="00090EE8" w:rsidRDefault="00932B38">
      <w:pPr>
        <w:pStyle w:val="ac"/>
        <w:numPr>
          <w:ilvl w:val="0"/>
          <w:numId w:val="4"/>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成本分类和成本结构分析</w:t>
      </w:r>
    </w:p>
    <w:p w:rsidR="00090EE8" w:rsidRDefault="00932B38">
      <w:pPr>
        <w:pStyle w:val="ac"/>
        <w:numPr>
          <w:ilvl w:val="0"/>
          <w:numId w:val="4"/>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直接成本分析</w:t>
      </w:r>
    </w:p>
    <w:p w:rsidR="00090EE8" w:rsidRDefault="00932B38">
      <w:pPr>
        <w:pStyle w:val="ac"/>
        <w:numPr>
          <w:ilvl w:val="0"/>
          <w:numId w:val="4"/>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间接成本分析</w:t>
      </w:r>
    </w:p>
    <w:p w:rsidR="00090EE8" w:rsidRDefault="00932B38">
      <w:pPr>
        <w:pStyle w:val="ac"/>
        <w:numPr>
          <w:ilvl w:val="0"/>
          <w:numId w:val="4"/>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传统成本法</w:t>
      </w:r>
    </w:p>
    <w:p w:rsidR="00090EE8" w:rsidRDefault="00932B38">
      <w:pPr>
        <w:pStyle w:val="ac"/>
        <w:numPr>
          <w:ilvl w:val="0"/>
          <w:numId w:val="4"/>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作业成本法</w:t>
      </w:r>
    </w:p>
    <w:p w:rsidR="00090EE8" w:rsidRDefault="00932B38">
      <w:pPr>
        <w:pStyle w:val="ac"/>
        <w:numPr>
          <w:ilvl w:val="0"/>
          <w:numId w:val="4"/>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成本分析案例</w:t>
      </w:r>
    </w:p>
    <w:p w:rsidR="00090EE8" w:rsidRDefault="00932B3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三、财务知识在供应链中的运用</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供应</w:t>
      </w:r>
      <w:proofErr w:type="gramStart"/>
      <w:r>
        <w:rPr>
          <w:rFonts w:ascii="微软雅黑" w:eastAsia="微软雅黑" w:hAnsi="微软雅黑" w:cs="宋体" w:hint="eastAsia"/>
          <w:kern w:val="0"/>
          <w:sz w:val="20"/>
          <w:szCs w:val="20"/>
        </w:rPr>
        <w:t>链成本</w:t>
      </w:r>
      <w:proofErr w:type="gramEnd"/>
      <w:r>
        <w:rPr>
          <w:rFonts w:ascii="微软雅黑" w:eastAsia="微软雅黑" w:hAnsi="微软雅黑" w:cs="宋体" w:hint="eastAsia"/>
          <w:kern w:val="0"/>
          <w:sz w:val="20"/>
          <w:szCs w:val="20"/>
        </w:rPr>
        <w:t>分析</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物流成本分析</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资金成本分析</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成本的牛鞭效应</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量本利分析</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采购和租赁分析</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proofErr w:type="gramStart"/>
      <w:r>
        <w:rPr>
          <w:rFonts w:ascii="微软雅黑" w:eastAsia="微软雅黑" w:hAnsi="微软雅黑" w:cs="宋体" w:hint="eastAsia"/>
          <w:kern w:val="0"/>
          <w:sz w:val="20"/>
          <w:szCs w:val="20"/>
        </w:rPr>
        <w:t>总拥有</w:t>
      </w:r>
      <w:proofErr w:type="gramEnd"/>
      <w:r>
        <w:rPr>
          <w:rFonts w:ascii="微软雅黑" w:eastAsia="微软雅黑" w:hAnsi="微软雅黑" w:cs="宋体" w:hint="eastAsia"/>
          <w:kern w:val="0"/>
          <w:sz w:val="20"/>
          <w:szCs w:val="20"/>
        </w:rPr>
        <w:t>成本分析</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案例</w:t>
      </w:r>
      <w:proofErr w:type="gramStart"/>
      <w:r>
        <w:rPr>
          <w:rFonts w:ascii="微软雅黑" w:eastAsia="微软雅黑" w:hAnsi="微软雅黑" w:cs="宋体" w:hint="eastAsia"/>
          <w:kern w:val="0"/>
          <w:sz w:val="20"/>
          <w:szCs w:val="20"/>
        </w:rPr>
        <w:t>—设备采购总</w:t>
      </w:r>
      <w:proofErr w:type="gramEnd"/>
      <w:r>
        <w:rPr>
          <w:rFonts w:ascii="微软雅黑" w:eastAsia="微软雅黑" w:hAnsi="微软雅黑" w:cs="宋体" w:hint="eastAsia"/>
          <w:kern w:val="0"/>
          <w:sz w:val="20"/>
          <w:szCs w:val="20"/>
        </w:rPr>
        <w:t>成本分析</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税和税务优化</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税的种类和计算方法</w:t>
      </w:r>
    </w:p>
    <w:p w:rsidR="00090EE8" w:rsidRDefault="00932B38">
      <w:pPr>
        <w:pStyle w:val="ac"/>
        <w:numPr>
          <w:ilvl w:val="0"/>
          <w:numId w:val="5"/>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税负优化案例分析</w:t>
      </w:r>
    </w:p>
    <w:p w:rsidR="00090EE8" w:rsidRDefault="00932B3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四、提升采购绩效，改善公司财务</w:t>
      </w:r>
    </w:p>
    <w:p w:rsidR="00090EE8" w:rsidRDefault="00932B38">
      <w:pPr>
        <w:pStyle w:val="ac"/>
        <w:numPr>
          <w:ilvl w:val="0"/>
          <w:numId w:val="6"/>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采购绩效对财务指标的影响</w:t>
      </w:r>
    </w:p>
    <w:p w:rsidR="00090EE8" w:rsidRDefault="00932B38">
      <w:pPr>
        <w:pStyle w:val="ac"/>
        <w:numPr>
          <w:ilvl w:val="0"/>
          <w:numId w:val="6"/>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采购绩效制定和考核</w:t>
      </w:r>
    </w:p>
    <w:p w:rsidR="00090EE8" w:rsidRDefault="00932B38">
      <w:pPr>
        <w:pStyle w:val="ac"/>
        <w:numPr>
          <w:ilvl w:val="0"/>
          <w:numId w:val="6"/>
        </w:numPr>
        <w:adjustRightInd w:val="0"/>
        <w:snapToGrid w:val="0"/>
        <w:ind w:firstLineChars="0"/>
        <w:rPr>
          <w:rFonts w:ascii="微软雅黑" w:eastAsia="微软雅黑" w:hAnsi="微软雅黑" w:cs="宋体"/>
          <w:kern w:val="0"/>
          <w:sz w:val="20"/>
          <w:szCs w:val="20"/>
        </w:rPr>
      </w:pPr>
      <w:r>
        <w:rPr>
          <w:rFonts w:ascii="微软雅黑" w:eastAsia="微软雅黑" w:hAnsi="微软雅黑" w:cs="宋体" w:hint="eastAsia"/>
          <w:kern w:val="0"/>
          <w:sz w:val="20"/>
          <w:szCs w:val="20"/>
        </w:rPr>
        <w:t>采购相关指数解读和运用</w:t>
      </w:r>
    </w:p>
    <w:p w:rsidR="00090EE8" w:rsidRDefault="00932B38">
      <w:pPr>
        <w:pStyle w:val="ac"/>
        <w:numPr>
          <w:ilvl w:val="0"/>
          <w:numId w:val="6"/>
        </w:numPr>
        <w:adjustRightInd w:val="0"/>
        <w:snapToGrid w:val="0"/>
        <w:ind w:firstLineChars="0"/>
        <w:rPr>
          <w:rFonts w:ascii="微软雅黑" w:eastAsia="微软雅黑" w:hAnsi="微软雅黑" w:cs="宋体"/>
          <w:kern w:val="0"/>
          <w:sz w:val="20"/>
          <w:szCs w:val="20"/>
        </w:rPr>
        <w:sectPr w:rsidR="00090EE8">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cs="宋体" w:hint="eastAsia"/>
          <w:kern w:val="0"/>
          <w:sz w:val="20"/>
          <w:szCs w:val="20"/>
        </w:rPr>
        <w:t>案例分析</w:t>
      </w:r>
    </w:p>
    <w:p w:rsidR="00090EE8" w:rsidRDefault="00090EE8">
      <w:pPr>
        <w:adjustRightInd w:val="0"/>
        <w:snapToGrid w:val="0"/>
        <w:rPr>
          <w:rFonts w:ascii="微软雅黑" w:eastAsia="微软雅黑" w:hAnsi="微软雅黑"/>
          <w:b/>
          <w:color w:val="FF0000"/>
          <w:sz w:val="24"/>
        </w:rPr>
        <w:sectPr w:rsidR="00090EE8">
          <w:type w:val="continuous"/>
          <w:pgSz w:w="11906" w:h="16838"/>
          <w:pgMar w:top="1134" w:right="1286" w:bottom="851" w:left="1134" w:header="851" w:footer="229" w:gutter="0"/>
          <w:pgNumType w:fmt="numberInDash"/>
          <w:cols w:sep="1" w:space="425"/>
          <w:docGrid w:type="linesAndChars" w:linePitch="312"/>
        </w:sectPr>
      </w:pPr>
    </w:p>
    <w:p w:rsidR="00090EE8" w:rsidRDefault="00090EE8">
      <w:pPr>
        <w:adjustRightInd w:val="0"/>
        <w:snapToGrid w:val="0"/>
        <w:rPr>
          <w:rFonts w:ascii="微软雅黑" w:eastAsia="微软雅黑" w:hAnsi="微软雅黑"/>
          <w:szCs w:val="21"/>
        </w:rPr>
        <w:sectPr w:rsidR="00090EE8">
          <w:type w:val="continuous"/>
          <w:pgSz w:w="11906" w:h="16838"/>
          <w:pgMar w:top="1134" w:right="1286" w:bottom="851" w:left="1134" w:header="851" w:footer="229" w:gutter="0"/>
          <w:pgNumType w:fmt="numberInDash"/>
          <w:cols w:sep="1" w:space="425"/>
          <w:docGrid w:type="linesAndChars" w:linePitch="312"/>
        </w:sectPr>
      </w:pPr>
    </w:p>
    <w:p w:rsidR="00090EE8" w:rsidRDefault="00932B38">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讲师介绍：</w:t>
      </w:r>
    </w:p>
    <w:p w:rsidR="00090EE8" w:rsidRDefault="00932B38">
      <w:pPr>
        <w:widowControl/>
        <w:tabs>
          <w:tab w:val="left" w:pos="668"/>
        </w:tabs>
        <w:adjustRightInd w:val="0"/>
        <w:snapToGrid w:val="0"/>
        <w:ind w:left="108"/>
        <w:jc w:val="left"/>
        <w:rPr>
          <w:rFonts w:ascii="宋体" w:hAnsi="宋体" w:cs="宋体"/>
          <w:color w:val="FFFFFF"/>
          <w:kern w:val="0"/>
          <w:sz w:val="22"/>
          <w:szCs w:val="22"/>
        </w:rPr>
      </w:pPr>
      <w:r>
        <w:rPr>
          <w:rFonts w:ascii="宋体" w:hAnsi="宋体" w:cs="宋体"/>
          <w:b/>
          <w:color w:val="000000" w:themeColor="text1"/>
          <w:kern w:val="0"/>
          <w:sz w:val="32"/>
          <w:szCs w:val="22"/>
        </w:rPr>
        <w:t xml:space="preserve">Randy </w:t>
      </w:r>
      <w:proofErr w:type="gramStart"/>
      <w:r>
        <w:rPr>
          <w:rFonts w:ascii="宋体" w:hAnsi="宋体" w:cs="宋体"/>
          <w:b/>
          <w:color w:val="000000" w:themeColor="text1"/>
          <w:kern w:val="0"/>
          <w:sz w:val="32"/>
          <w:szCs w:val="22"/>
        </w:rPr>
        <w:t>Gu</w:t>
      </w:r>
      <w:r>
        <w:rPr>
          <w:rFonts w:ascii="宋体" w:hAnsi="宋体" w:cs="宋体" w:hint="eastAsia"/>
          <w:b/>
          <w:color w:val="FFFFFF"/>
          <w:kern w:val="0"/>
          <w:sz w:val="32"/>
          <w:szCs w:val="22"/>
        </w:rPr>
        <w:t xml:space="preserve"> </w:t>
      </w:r>
      <w:r>
        <w:rPr>
          <w:rFonts w:ascii="宋体" w:hAnsi="宋体" w:cs="宋体" w:hint="eastAsia"/>
          <w:color w:val="FFFFFF"/>
          <w:kern w:val="0"/>
          <w:sz w:val="22"/>
          <w:szCs w:val="22"/>
        </w:rPr>
        <w:t xml:space="preserve"> 13817</w:t>
      </w:r>
      <w:proofErr w:type="gramEnd"/>
    </w:p>
    <w:p w:rsidR="00090EE8" w:rsidRDefault="00932B38">
      <w:pPr>
        <w:widowControl/>
        <w:adjustRightInd w:val="0"/>
        <w:snapToGrid w:val="0"/>
        <w:rPr>
          <w:rFonts w:ascii="微软雅黑" w:eastAsia="微软雅黑" w:hAnsi="微软雅黑"/>
          <w:color w:val="000000"/>
          <w:kern w:val="0"/>
          <w:szCs w:val="21"/>
        </w:rPr>
      </w:pPr>
      <w:r>
        <w:rPr>
          <w:rFonts w:ascii="微软雅黑" w:eastAsia="微软雅黑" w:hAnsi="微软雅黑" w:hint="eastAsia"/>
          <w:color w:val="000000"/>
          <w:szCs w:val="21"/>
        </w:rPr>
        <w:t>某跨国集团资深采购经理</w:t>
      </w:r>
    </w:p>
    <w:p w:rsidR="00090EE8" w:rsidRDefault="00932B38">
      <w:pPr>
        <w:adjustRightInd w:val="0"/>
        <w:snapToGrid w:val="0"/>
        <w:rPr>
          <w:rFonts w:ascii="微软雅黑" w:eastAsia="微软雅黑" w:hAnsi="微软雅黑"/>
          <w:b/>
          <w:color w:val="000000"/>
          <w:szCs w:val="21"/>
        </w:rPr>
      </w:pPr>
      <w:r>
        <w:rPr>
          <w:rFonts w:ascii="微软雅黑" w:eastAsia="微软雅黑" w:hAnsi="微软雅黑" w:hint="eastAsia"/>
          <w:b/>
          <w:color w:val="000000"/>
          <w:szCs w:val="21"/>
        </w:rPr>
        <w:t>行业资质：</w:t>
      </w:r>
    </w:p>
    <w:p w:rsidR="00090EE8" w:rsidRDefault="00932B38">
      <w:pPr>
        <w:adjustRightInd w:val="0"/>
        <w:snapToGrid w:val="0"/>
        <w:rPr>
          <w:rFonts w:ascii="微软雅黑" w:eastAsia="微软雅黑" w:hAnsi="微软雅黑"/>
          <w:color w:val="000000"/>
          <w:szCs w:val="21"/>
        </w:rPr>
      </w:pPr>
      <w:r>
        <w:rPr>
          <w:rFonts w:ascii="微软雅黑" w:eastAsia="微软雅黑" w:hAnsi="微软雅黑" w:hint="eastAsia"/>
          <w:color w:val="000000"/>
          <w:szCs w:val="21"/>
        </w:rPr>
        <w:t>英国专业管理协会认证的专业培训师</w:t>
      </w:r>
      <w:r>
        <w:rPr>
          <w:rFonts w:ascii="微软雅黑" w:eastAsia="微软雅黑" w:hAnsi="微软雅黑" w:hint="eastAsia"/>
          <w:color w:val="000000"/>
          <w:szCs w:val="21"/>
        </w:rPr>
        <w:t>C.I.P.T</w:t>
      </w:r>
    </w:p>
    <w:p w:rsidR="00090EE8" w:rsidRDefault="00932B38">
      <w:pPr>
        <w:adjustRightInd w:val="0"/>
        <w:snapToGrid w:val="0"/>
        <w:rPr>
          <w:rFonts w:ascii="微软雅黑" w:eastAsia="微软雅黑" w:hAnsi="微软雅黑"/>
          <w:color w:val="000000"/>
          <w:szCs w:val="21"/>
        </w:rPr>
      </w:pPr>
      <w:r>
        <w:rPr>
          <w:rFonts w:ascii="微软雅黑" w:eastAsia="微软雅黑" w:hAnsi="微软雅黑" w:hint="eastAsia"/>
          <w:color w:val="000000"/>
          <w:szCs w:val="21"/>
        </w:rPr>
        <w:t>美国供应管理协会认证采购经理</w:t>
      </w:r>
      <w:r>
        <w:rPr>
          <w:rFonts w:ascii="微软雅黑" w:eastAsia="微软雅黑" w:hAnsi="微软雅黑" w:hint="eastAsia"/>
          <w:color w:val="000000"/>
          <w:szCs w:val="21"/>
        </w:rPr>
        <w:t>C.P.M.</w:t>
      </w:r>
    </w:p>
    <w:p w:rsidR="00090EE8" w:rsidRDefault="00932B38">
      <w:pPr>
        <w:adjustRightInd w:val="0"/>
        <w:snapToGrid w:val="0"/>
        <w:rPr>
          <w:rFonts w:ascii="微软雅黑" w:eastAsia="微软雅黑" w:hAnsi="微软雅黑"/>
          <w:color w:val="000000"/>
          <w:szCs w:val="21"/>
        </w:rPr>
      </w:pPr>
      <w:r>
        <w:rPr>
          <w:rFonts w:ascii="微软雅黑" w:eastAsia="微软雅黑" w:hAnsi="微软雅黑" w:hint="eastAsia"/>
          <w:color w:val="000000"/>
          <w:szCs w:val="21"/>
        </w:rPr>
        <w:t>摩托罗拉大学授权讲师</w:t>
      </w:r>
    </w:p>
    <w:p w:rsidR="00090EE8" w:rsidRDefault="00932B38">
      <w:pPr>
        <w:adjustRightInd w:val="0"/>
        <w:snapToGrid w:val="0"/>
        <w:rPr>
          <w:rFonts w:ascii="微软雅黑" w:eastAsia="微软雅黑" w:hAnsi="微软雅黑"/>
          <w:color w:val="000000"/>
          <w:szCs w:val="21"/>
        </w:rPr>
      </w:pPr>
      <w:r>
        <w:rPr>
          <w:rFonts w:ascii="微软雅黑" w:eastAsia="微软雅黑" w:hAnsi="微软雅黑" w:hint="eastAsia"/>
          <w:color w:val="000000"/>
          <w:szCs w:val="21"/>
        </w:rPr>
        <w:t>加拿大采购管理协会中国授权讲师</w:t>
      </w:r>
    </w:p>
    <w:p w:rsidR="00090EE8" w:rsidRDefault="00932B38">
      <w:pPr>
        <w:adjustRightInd w:val="0"/>
        <w:snapToGrid w:val="0"/>
        <w:rPr>
          <w:rFonts w:ascii="微软雅黑" w:eastAsia="微软雅黑" w:hAnsi="微软雅黑"/>
          <w:color w:val="000000"/>
          <w:szCs w:val="21"/>
        </w:rPr>
      </w:pPr>
      <w:r>
        <w:rPr>
          <w:rFonts w:ascii="微软雅黑" w:eastAsia="微软雅黑" w:hAnsi="微软雅黑" w:hint="eastAsia"/>
          <w:color w:val="000000"/>
          <w:szCs w:val="21"/>
        </w:rPr>
        <w:t>上海帕迪企业管理咨询有限公司特邀讲师</w:t>
      </w:r>
    </w:p>
    <w:p w:rsidR="00090EE8" w:rsidRDefault="00932B38">
      <w:pPr>
        <w:widowControl/>
        <w:adjustRightInd w:val="0"/>
        <w:snapToGrid w:val="0"/>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工作经历：</w:t>
      </w:r>
      <w:r>
        <w:rPr>
          <w:rFonts w:ascii="微软雅黑" w:eastAsia="微软雅黑" w:hAnsi="微软雅黑" w:cs="宋体" w:hint="eastAsia"/>
          <w:b/>
          <w:color w:val="000000"/>
          <w:kern w:val="0"/>
          <w:szCs w:val="21"/>
        </w:rPr>
        <w:t xml:space="preserve">    </w:t>
      </w:r>
    </w:p>
    <w:p w:rsidR="00090EE8" w:rsidRDefault="00932B38">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顾先生具有二十多年的</w:t>
      </w:r>
      <w:r>
        <w:rPr>
          <w:rFonts w:ascii="微软雅黑" w:eastAsia="微软雅黑" w:hAnsi="微软雅黑" w:cs="宋体" w:hint="eastAsia"/>
          <w:color w:val="000000"/>
          <w:kern w:val="0"/>
          <w:szCs w:val="21"/>
        </w:rPr>
        <w:t>500</w:t>
      </w:r>
      <w:r>
        <w:rPr>
          <w:rFonts w:ascii="微软雅黑" w:eastAsia="微软雅黑" w:hAnsi="微软雅黑" w:cs="宋体" w:hint="eastAsia"/>
          <w:color w:val="000000"/>
          <w:kern w:val="0"/>
          <w:szCs w:val="21"/>
        </w:rPr>
        <w:t>强跨国企业工作经验，服务的公司包括摩托罗拉，柯达公司，历任产品开发，供应商质量管理，资源开发，外包管理，战略成本经理，战略采购经理等职务。顾先生是摩托罗</w:t>
      </w:r>
      <w:r>
        <w:rPr>
          <w:rFonts w:ascii="微软雅黑" w:eastAsia="微软雅黑" w:hAnsi="微软雅黑" w:cs="宋体" w:hint="eastAsia"/>
          <w:color w:val="000000"/>
          <w:kern w:val="0"/>
          <w:szCs w:val="21"/>
        </w:rPr>
        <w:lastRenderedPageBreak/>
        <w:t>拉在亚洲外包（</w:t>
      </w:r>
      <w:r>
        <w:rPr>
          <w:rFonts w:ascii="微软雅黑" w:eastAsia="微软雅黑" w:hAnsi="微软雅黑" w:cs="宋体" w:hint="eastAsia"/>
          <w:color w:val="000000"/>
          <w:kern w:val="0"/>
          <w:szCs w:val="21"/>
        </w:rPr>
        <w:t>Outsourcing</w:t>
      </w:r>
      <w:r>
        <w:rPr>
          <w:rFonts w:ascii="微软雅黑" w:eastAsia="微软雅黑" w:hAnsi="微软雅黑" w:cs="宋体" w:hint="eastAsia"/>
          <w:color w:val="000000"/>
          <w:kern w:val="0"/>
          <w:szCs w:val="21"/>
        </w:rPr>
        <w:t>）业务的第一批管理人员，负责管理</w:t>
      </w:r>
      <w:r>
        <w:rPr>
          <w:rFonts w:ascii="微软雅黑" w:eastAsia="微软雅黑" w:hAnsi="微软雅黑" w:cs="宋体" w:hint="eastAsia"/>
          <w:color w:val="000000"/>
          <w:kern w:val="0"/>
          <w:szCs w:val="21"/>
        </w:rPr>
        <w:t>5</w:t>
      </w:r>
      <w:r>
        <w:rPr>
          <w:rFonts w:ascii="微软雅黑" w:eastAsia="微软雅黑" w:hAnsi="微软雅黑" w:cs="宋体" w:hint="eastAsia"/>
          <w:color w:val="000000"/>
          <w:kern w:val="0"/>
          <w:szCs w:val="21"/>
        </w:rPr>
        <w:t>亿美元的外包业务，他帮助建立了对外包供应商的成本管理体系，供应链改进流程，连续两年被评为公司优秀员工。</w:t>
      </w:r>
    </w:p>
    <w:p w:rsidR="00090EE8" w:rsidRDefault="00932B38">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顾先生也是柯达亚太区的第一位战略成本经理，主导建立了采购成本分析数据库</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成本分析模型，有效地帮助公司取得了</w:t>
      </w:r>
      <w:r>
        <w:rPr>
          <w:rFonts w:ascii="微软雅黑" w:eastAsia="微软雅黑" w:hAnsi="微软雅黑" w:cs="宋体" w:hint="eastAsia"/>
          <w:color w:val="000000"/>
          <w:kern w:val="0"/>
          <w:szCs w:val="21"/>
        </w:rPr>
        <w:t>2</w:t>
      </w:r>
      <w:r>
        <w:rPr>
          <w:rFonts w:ascii="微软雅黑" w:eastAsia="微软雅黑" w:hAnsi="微软雅黑" w:cs="宋体" w:hint="eastAsia"/>
          <w:color w:val="000000"/>
          <w:kern w:val="0"/>
          <w:szCs w:val="21"/>
        </w:rPr>
        <w:t>位数的成本降价</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领导跨部门团队进行拆解分析，引入并推动战略成本管理理念在采购工作的应用。在担任亚太区战略采购经理期间，负责公司</w:t>
      </w:r>
      <w:r>
        <w:rPr>
          <w:rFonts w:ascii="微软雅黑" w:eastAsia="微软雅黑" w:hAnsi="微软雅黑" w:cs="宋体" w:hint="eastAsia"/>
          <w:color w:val="000000"/>
          <w:kern w:val="0"/>
          <w:szCs w:val="21"/>
        </w:rPr>
        <w:t>ODM</w:t>
      </w:r>
      <w:r>
        <w:rPr>
          <w:rFonts w:ascii="微软雅黑" w:eastAsia="微软雅黑" w:hAnsi="微软雅黑" w:cs="宋体" w:hint="eastAsia"/>
          <w:color w:val="000000"/>
          <w:kern w:val="0"/>
          <w:szCs w:val="21"/>
        </w:rPr>
        <w:t>业务的采购管理，开发</w:t>
      </w:r>
      <w:r>
        <w:rPr>
          <w:rFonts w:ascii="微软雅黑" w:eastAsia="微软雅黑" w:hAnsi="微软雅黑" w:cs="宋体" w:hint="eastAsia"/>
          <w:color w:val="000000"/>
          <w:kern w:val="0"/>
          <w:szCs w:val="21"/>
        </w:rPr>
        <w:t>ODM</w:t>
      </w:r>
      <w:r>
        <w:rPr>
          <w:rFonts w:ascii="微软雅黑" w:eastAsia="微软雅黑" w:hAnsi="微软雅黑" w:cs="宋体" w:hint="eastAsia"/>
          <w:color w:val="000000"/>
          <w:kern w:val="0"/>
          <w:szCs w:val="21"/>
        </w:rPr>
        <w:t>价格管理体系和市场</w:t>
      </w:r>
      <w:proofErr w:type="gramStart"/>
      <w:r>
        <w:rPr>
          <w:rFonts w:ascii="微软雅黑" w:eastAsia="微软雅黑" w:hAnsi="微软雅黑" w:cs="宋体" w:hint="eastAsia"/>
          <w:color w:val="000000"/>
          <w:kern w:val="0"/>
          <w:szCs w:val="21"/>
        </w:rPr>
        <w:t>咨</w:t>
      </w:r>
      <w:proofErr w:type="gramEnd"/>
      <w:r>
        <w:rPr>
          <w:rFonts w:ascii="微软雅黑" w:eastAsia="微软雅黑" w:hAnsi="微软雅黑" w:cs="宋体" w:hint="eastAsia"/>
          <w:color w:val="000000"/>
          <w:kern w:val="0"/>
          <w:szCs w:val="21"/>
        </w:rPr>
        <w:t>讯系统。</w:t>
      </w:r>
    </w:p>
    <w:p w:rsidR="00090EE8" w:rsidRDefault="00932B38">
      <w:pPr>
        <w:widowControl/>
        <w:adjustRightInd w:val="0"/>
        <w:snapToGrid w:val="0"/>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风格与特点：</w:t>
      </w:r>
    </w:p>
    <w:p w:rsidR="00090EE8" w:rsidRDefault="00932B38">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顾先生对采购成本分析、采购战略、采购外包管理方面有多年的实践经验和很深的见解，尤其对采购成本分析具有丰富的实战经验，课程中引入大量的实际项目案例，让学员能够开阔视野，深受启发；独到的见解、风趣的讲授，往</w:t>
      </w:r>
      <w:r>
        <w:rPr>
          <w:rFonts w:ascii="微软雅黑" w:eastAsia="微软雅黑" w:hAnsi="微软雅黑" w:cs="宋体" w:hint="eastAsia"/>
          <w:color w:val="000000"/>
          <w:kern w:val="0"/>
          <w:szCs w:val="21"/>
        </w:rPr>
        <w:t>往赢得了学员们的一致好评；</w:t>
      </w:r>
    </w:p>
    <w:p w:rsidR="00090EE8" w:rsidRDefault="00932B38">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培训</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咨询服务的客户：</w:t>
      </w:r>
    </w:p>
    <w:p w:rsidR="00090EE8" w:rsidRDefault="00932B38">
      <w:pPr>
        <w:widowControl/>
        <w:adjustRightInd w:val="0"/>
        <w:snapToGrid w:val="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联想手机，沈阳华晨宝马，国核工程，</w:t>
      </w:r>
      <w:proofErr w:type="gramStart"/>
      <w:r>
        <w:rPr>
          <w:rFonts w:ascii="微软雅黑" w:eastAsia="微软雅黑" w:hAnsi="微软雅黑" w:cs="宋体" w:hint="eastAsia"/>
          <w:color w:val="000000"/>
          <w:kern w:val="0"/>
          <w:szCs w:val="21"/>
        </w:rPr>
        <w:t>腾讯科技</w:t>
      </w:r>
      <w:proofErr w:type="gramEnd"/>
      <w:r>
        <w:rPr>
          <w:rFonts w:ascii="微软雅黑" w:eastAsia="微软雅黑" w:hAnsi="微软雅黑" w:cs="宋体" w:hint="eastAsia"/>
          <w:color w:val="000000"/>
          <w:kern w:val="0"/>
          <w:szCs w:val="21"/>
        </w:rPr>
        <w:t>，新宇航空，惠而浦，罗莱家纺，</w:t>
      </w:r>
      <w:proofErr w:type="gramStart"/>
      <w:r>
        <w:rPr>
          <w:rFonts w:ascii="微软雅黑" w:eastAsia="微软雅黑" w:hAnsi="微软雅黑" w:cs="宋体" w:hint="eastAsia"/>
          <w:color w:val="000000"/>
          <w:kern w:val="0"/>
          <w:szCs w:val="21"/>
        </w:rPr>
        <w:t>海信容</w:t>
      </w:r>
      <w:proofErr w:type="gramEnd"/>
      <w:r>
        <w:rPr>
          <w:rFonts w:ascii="微软雅黑" w:eastAsia="微软雅黑" w:hAnsi="微软雅黑" w:cs="宋体" w:hint="eastAsia"/>
          <w:color w:val="000000"/>
          <w:kern w:val="0"/>
          <w:szCs w:val="21"/>
        </w:rPr>
        <w:t>声，伊倍达电子，山特维克材料，森松化工，奥的斯电梯，飞利浦亚明，</w:t>
      </w:r>
      <w:proofErr w:type="gramStart"/>
      <w:r>
        <w:rPr>
          <w:rFonts w:ascii="微软雅黑" w:eastAsia="微软雅黑" w:hAnsi="微软雅黑" w:cs="宋体" w:hint="eastAsia"/>
          <w:color w:val="000000"/>
          <w:kern w:val="0"/>
          <w:szCs w:val="21"/>
        </w:rPr>
        <w:t>萨帕</w:t>
      </w:r>
      <w:proofErr w:type="gramEnd"/>
      <w:r>
        <w:rPr>
          <w:rFonts w:ascii="微软雅黑" w:eastAsia="微软雅黑" w:hAnsi="微软雅黑" w:cs="宋体" w:hint="eastAsia"/>
          <w:color w:val="000000"/>
          <w:kern w:val="0"/>
          <w:szCs w:val="21"/>
        </w:rPr>
        <w:t>铝热，汉佰（南京）纺织品，江阴</w:t>
      </w:r>
      <w:proofErr w:type="gramStart"/>
      <w:r>
        <w:rPr>
          <w:rFonts w:ascii="微软雅黑" w:eastAsia="微软雅黑" w:hAnsi="微软雅黑" w:cs="宋体" w:hint="eastAsia"/>
          <w:color w:val="000000"/>
          <w:kern w:val="0"/>
          <w:szCs w:val="21"/>
        </w:rPr>
        <w:t>贝卡</w:t>
      </w:r>
      <w:proofErr w:type="gramEnd"/>
      <w:r>
        <w:rPr>
          <w:rFonts w:ascii="微软雅黑" w:eastAsia="微软雅黑" w:hAnsi="微软雅黑" w:cs="宋体" w:hint="eastAsia"/>
          <w:color w:val="000000"/>
          <w:kern w:val="0"/>
          <w:szCs w:val="21"/>
        </w:rPr>
        <w:t>尔特，阿法拉伐，上海适达，通用磨坊，美卓造纸机械，艾欧史密斯，慧智科技，联合汽车，上海英格索兰，埃新斯新能源，惠氏营养品，鼎举（上海）软件，魏德米勒，艾默生贸易，中达电通，利乐包装，爱克发，复盛易利达</w:t>
      </w:r>
    </w:p>
    <w:p w:rsidR="00090EE8" w:rsidRDefault="00932B38">
      <w:pPr>
        <w:adjustRightInd w:val="0"/>
        <w:snapToGrid w:val="0"/>
        <w:rPr>
          <w:rFonts w:ascii="微软雅黑" w:eastAsia="微软雅黑" w:hAnsi="微软雅黑"/>
          <w:color w:val="000000"/>
          <w:szCs w:val="21"/>
        </w:rPr>
      </w:pPr>
      <w:r>
        <w:rPr>
          <w:rFonts w:ascii="微软雅黑" w:eastAsia="微软雅黑" w:hAnsi="微软雅黑" w:hint="eastAsia"/>
          <w:color w:val="000000"/>
          <w:szCs w:val="21"/>
        </w:rPr>
        <w:t>客户评价：内容很丰富，对新的价格分析的方式了解很多。</w:t>
      </w:r>
    </w:p>
    <w:p w:rsidR="00090EE8" w:rsidRDefault="00932B38">
      <w:pPr>
        <w:adjustRightInd w:val="0"/>
        <w:snapToGrid w:val="0"/>
        <w:rPr>
          <w:rFonts w:ascii="微软雅黑" w:eastAsia="微软雅黑" w:hAnsi="微软雅黑"/>
          <w:color w:val="000000"/>
          <w:szCs w:val="21"/>
        </w:rPr>
      </w:pPr>
      <w:r>
        <w:rPr>
          <w:rFonts w:ascii="微软雅黑" w:eastAsia="微软雅黑" w:hAnsi="微软雅黑" w:hint="eastAsia"/>
          <w:color w:val="000000"/>
          <w:szCs w:val="21"/>
        </w:rPr>
        <w:t>能够系统的了解采</w:t>
      </w:r>
      <w:r>
        <w:rPr>
          <w:rFonts w:ascii="微软雅黑" w:eastAsia="微软雅黑" w:hAnsi="微软雅黑" w:hint="eastAsia"/>
          <w:color w:val="000000"/>
          <w:szCs w:val="21"/>
        </w:rPr>
        <w:t>购活动中的财务知识，与实际工作相结合，比较实用</w:t>
      </w:r>
    </w:p>
    <w:p w:rsidR="00090EE8" w:rsidRDefault="00090EE8">
      <w:pPr>
        <w:widowControl/>
        <w:adjustRightInd w:val="0"/>
        <w:snapToGrid w:val="0"/>
        <w:jc w:val="left"/>
        <w:rPr>
          <w:rFonts w:ascii="微软雅黑" w:eastAsia="微软雅黑" w:hAnsi="微软雅黑" w:cs="宋体"/>
          <w:kern w:val="0"/>
          <w:sz w:val="20"/>
          <w:szCs w:val="20"/>
        </w:rPr>
        <w:sectPr w:rsidR="00090EE8">
          <w:type w:val="continuous"/>
          <w:pgSz w:w="11906" w:h="16838"/>
          <w:pgMar w:top="1134" w:right="1286" w:bottom="851" w:left="1134" w:header="851" w:footer="229" w:gutter="0"/>
          <w:pgNumType w:fmt="numberInDash"/>
          <w:cols w:sep="1" w:space="425"/>
          <w:docGrid w:type="linesAndChars" w:linePitch="312"/>
        </w:sectPr>
      </w:pPr>
    </w:p>
    <w:p w:rsidR="00090EE8" w:rsidRDefault="00090EE8">
      <w:pPr>
        <w:widowControl/>
        <w:adjustRightInd w:val="0"/>
        <w:snapToGrid w:val="0"/>
        <w:spacing w:line="360" w:lineRule="auto"/>
        <w:jc w:val="left"/>
        <w:rPr>
          <w:rFonts w:ascii="微软雅黑" w:eastAsia="微软雅黑" w:hAnsi="微软雅黑" w:cs="宋体"/>
          <w:kern w:val="0"/>
          <w:sz w:val="20"/>
          <w:szCs w:val="20"/>
        </w:rPr>
        <w:sectPr w:rsidR="00090EE8">
          <w:type w:val="continuous"/>
          <w:pgSz w:w="11906" w:h="16838"/>
          <w:pgMar w:top="1134" w:right="1286" w:bottom="851" w:left="1134" w:header="851" w:footer="229" w:gutter="0"/>
          <w:pgNumType w:fmt="numberInDash"/>
          <w:cols w:sep="1" w:space="425"/>
          <w:docGrid w:type="linesAndChars" w:linePitch="312"/>
        </w:sectPr>
      </w:pPr>
    </w:p>
    <w:p w:rsidR="00090EE8" w:rsidRDefault="00932B38">
      <w:pPr>
        <w:widowControl/>
        <w:tabs>
          <w:tab w:val="left" w:pos="668"/>
        </w:tabs>
        <w:ind w:left="108"/>
        <w:jc w:val="center"/>
        <w:rPr>
          <w:rFonts w:eastAsia="微软雅黑"/>
          <w:b/>
          <w:color w:val="FF0000"/>
          <w:sz w:val="36"/>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090EE8" w:rsidRDefault="00090EE8">
      <w:pPr>
        <w:widowControl/>
        <w:tabs>
          <w:tab w:val="left" w:pos="668"/>
        </w:tabs>
        <w:ind w:left="108"/>
        <w:jc w:val="center"/>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186"/>
        <w:gridCol w:w="1333"/>
        <w:gridCol w:w="2795"/>
      </w:tblGrid>
      <w:tr w:rsidR="00090EE8">
        <w:trPr>
          <w:trHeight w:hRule="exact" w:val="436"/>
          <w:jc w:val="center"/>
        </w:trPr>
        <w:tc>
          <w:tcPr>
            <w:tcW w:w="1394" w:type="dxa"/>
            <w:vAlign w:val="center"/>
          </w:tcPr>
          <w:p w:rsidR="00090EE8" w:rsidRDefault="00932B38">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090EE8" w:rsidRDefault="00090EE8">
            <w:pPr>
              <w:tabs>
                <w:tab w:val="left" w:pos="1080"/>
              </w:tabs>
              <w:spacing w:line="340" w:lineRule="exact"/>
              <w:jc w:val="center"/>
              <w:rPr>
                <w:rFonts w:eastAsia="微软雅黑"/>
                <w:b/>
                <w:kern w:val="10"/>
                <w:sz w:val="24"/>
              </w:rPr>
            </w:pPr>
          </w:p>
        </w:tc>
        <w:tc>
          <w:tcPr>
            <w:tcW w:w="1333" w:type="dxa"/>
            <w:vAlign w:val="center"/>
          </w:tcPr>
          <w:p w:rsidR="00090EE8" w:rsidRDefault="00932B38">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090EE8" w:rsidRDefault="00090EE8">
            <w:pPr>
              <w:tabs>
                <w:tab w:val="left" w:pos="1080"/>
              </w:tabs>
              <w:spacing w:line="340" w:lineRule="exact"/>
              <w:jc w:val="center"/>
              <w:rPr>
                <w:rFonts w:eastAsia="微软雅黑"/>
                <w:b/>
                <w:kern w:val="10"/>
                <w:sz w:val="24"/>
              </w:rPr>
            </w:pPr>
          </w:p>
        </w:tc>
      </w:tr>
      <w:tr w:rsidR="00090EE8">
        <w:trPr>
          <w:trHeight w:hRule="exact" w:val="544"/>
          <w:jc w:val="center"/>
        </w:trPr>
        <w:tc>
          <w:tcPr>
            <w:tcW w:w="3457" w:type="dxa"/>
            <w:gridSpan w:val="3"/>
            <w:vAlign w:val="center"/>
          </w:tcPr>
          <w:p w:rsidR="00090EE8" w:rsidRDefault="00932B38">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90EE8" w:rsidRDefault="00932B38">
            <w:pPr>
              <w:tabs>
                <w:tab w:val="left" w:pos="1080"/>
              </w:tabs>
              <w:spacing w:line="340" w:lineRule="exact"/>
              <w:rPr>
                <w:rFonts w:eastAsia="微软雅黑"/>
                <w:b/>
                <w:kern w:val="10"/>
                <w:sz w:val="24"/>
              </w:rPr>
            </w:pPr>
            <w:r>
              <w:rPr>
                <w:rFonts w:eastAsia="微软雅黑"/>
                <w:b/>
                <w:kern w:val="10"/>
                <w:sz w:val="24"/>
              </w:rPr>
              <w:t>公司名称：</w:t>
            </w:r>
          </w:p>
        </w:tc>
      </w:tr>
      <w:tr w:rsidR="00090EE8">
        <w:trPr>
          <w:trHeight w:hRule="exact" w:val="436"/>
          <w:jc w:val="center"/>
        </w:trPr>
        <w:tc>
          <w:tcPr>
            <w:tcW w:w="1394" w:type="dxa"/>
            <w:vAlign w:val="center"/>
          </w:tcPr>
          <w:p w:rsidR="00090EE8" w:rsidRDefault="00932B38">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90EE8" w:rsidRDefault="00932B38">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090EE8" w:rsidRDefault="00932B38">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090EE8" w:rsidRDefault="00932B38">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8" w:type="dxa"/>
            <w:gridSpan w:val="2"/>
            <w:vAlign w:val="center"/>
          </w:tcPr>
          <w:p w:rsidR="00090EE8" w:rsidRDefault="00932B38">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90EE8">
        <w:trPr>
          <w:trHeight w:hRule="exact" w:val="440"/>
          <w:jc w:val="center"/>
        </w:trPr>
        <w:tc>
          <w:tcPr>
            <w:tcW w:w="1394" w:type="dxa"/>
          </w:tcPr>
          <w:p w:rsidR="00090EE8" w:rsidRDefault="00090EE8">
            <w:pPr>
              <w:spacing w:line="340" w:lineRule="exact"/>
              <w:jc w:val="center"/>
              <w:rPr>
                <w:rFonts w:eastAsia="微软雅黑"/>
                <w:sz w:val="24"/>
              </w:rPr>
            </w:pPr>
          </w:p>
        </w:tc>
        <w:tc>
          <w:tcPr>
            <w:tcW w:w="709" w:type="dxa"/>
          </w:tcPr>
          <w:p w:rsidR="00090EE8" w:rsidRDefault="00090EE8">
            <w:pPr>
              <w:spacing w:line="340" w:lineRule="exact"/>
              <w:jc w:val="center"/>
              <w:rPr>
                <w:rFonts w:eastAsia="微软雅黑"/>
                <w:sz w:val="24"/>
              </w:rPr>
            </w:pPr>
          </w:p>
        </w:tc>
        <w:tc>
          <w:tcPr>
            <w:tcW w:w="1354" w:type="dxa"/>
          </w:tcPr>
          <w:p w:rsidR="00090EE8" w:rsidRDefault="00090EE8">
            <w:pPr>
              <w:spacing w:line="340" w:lineRule="exact"/>
              <w:jc w:val="center"/>
              <w:rPr>
                <w:rFonts w:eastAsia="微软雅黑"/>
                <w:sz w:val="24"/>
              </w:rPr>
            </w:pPr>
          </w:p>
        </w:tc>
        <w:tc>
          <w:tcPr>
            <w:tcW w:w="2186" w:type="dxa"/>
          </w:tcPr>
          <w:p w:rsidR="00090EE8" w:rsidRDefault="00090EE8">
            <w:pPr>
              <w:spacing w:line="340" w:lineRule="exact"/>
              <w:jc w:val="center"/>
              <w:rPr>
                <w:rFonts w:eastAsia="微软雅黑"/>
                <w:sz w:val="24"/>
              </w:rPr>
            </w:pPr>
          </w:p>
        </w:tc>
        <w:tc>
          <w:tcPr>
            <w:tcW w:w="4128" w:type="dxa"/>
            <w:gridSpan w:val="2"/>
          </w:tcPr>
          <w:p w:rsidR="00090EE8" w:rsidRDefault="00090EE8">
            <w:pPr>
              <w:spacing w:line="340" w:lineRule="exact"/>
              <w:jc w:val="center"/>
              <w:rPr>
                <w:rFonts w:eastAsia="微软雅黑"/>
                <w:sz w:val="24"/>
              </w:rPr>
            </w:pPr>
          </w:p>
        </w:tc>
      </w:tr>
      <w:tr w:rsidR="00090EE8">
        <w:trPr>
          <w:trHeight w:hRule="exact" w:val="440"/>
          <w:jc w:val="center"/>
        </w:trPr>
        <w:tc>
          <w:tcPr>
            <w:tcW w:w="1394" w:type="dxa"/>
          </w:tcPr>
          <w:p w:rsidR="00090EE8" w:rsidRDefault="00090EE8">
            <w:pPr>
              <w:spacing w:line="340" w:lineRule="exact"/>
              <w:jc w:val="center"/>
              <w:rPr>
                <w:rFonts w:eastAsia="微软雅黑"/>
                <w:sz w:val="24"/>
              </w:rPr>
            </w:pPr>
          </w:p>
        </w:tc>
        <w:tc>
          <w:tcPr>
            <w:tcW w:w="709" w:type="dxa"/>
          </w:tcPr>
          <w:p w:rsidR="00090EE8" w:rsidRDefault="00090EE8">
            <w:pPr>
              <w:spacing w:line="340" w:lineRule="exact"/>
              <w:jc w:val="center"/>
              <w:rPr>
                <w:rFonts w:eastAsia="微软雅黑"/>
                <w:sz w:val="24"/>
              </w:rPr>
            </w:pPr>
          </w:p>
        </w:tc>
        <w:tc>
          <w:tcPr>
            <w:tcW w:w="1354" w:type="dxa"/>
          </w:tcPr>
          <w:p w:rsidR="00090EE8" w:rsidRDefault="00090EE8">
            <w:pPr>
              <w:spacing w:line="340" w:lineRule="exact"/>
              <w:jc w:val="center"/>
              <w:rPr>
                <w:rFonts w:eastAsia="微软雅黑"/>
                <w:sz w:val="24"/>
              </w:rPr>
            </w:pPr>
          </w:p>
        </w:tc>
        <w:tc>
          <w:tcPr>
            <w:tcW w:w="2186" w:type="dxa"/>
          </w:tcPr>
          <w:p w:rsidR="00090EE8" w:rsidRDefault="00090EE8">
            <w:pPr>
              <w:spacing w:line="340" w:lineRule="exact"/>
              <w:jc w:val="center"/>
              <w:rPr>
                <w:rFonts w:eastAsia="微软雅黑"/>
                <w:sz w:val="24"/>
              </w:rPr>
            </w:pPr>
          </w:p>
        </w:tc>
        <w:tc>
          <w:tcPr>
            <w:tcW w:w="4128" w:type="dxa"/>
            <w:gridSpan w:val="2"/>
          </w:tcPr>
          <w:p w:rsidR="00090EE8" w:rsidRDefault="00090EE8">
            <w:pPr>
              <w:spacing w:line="340" w:lineRule="exact"/>
              <w:jc w:val="center"/>
              <w:rPr>
                <w:rFonts w:eastAsia="微软雅黑"/>
                <w:sz w:val="24"/>
              </w:rPr>
            </w:pPr>
          </w:p>
        </w:tc>
      </w:tr>
      <w:tr w:rsidR="00090EE8">
        <w:trPr>
          <w:trHeight w:hRule="exact" w:val="436"/>
          <w:jc w:val="center"/>
        </w:trPr>
        <w:tc>
          <w:tcPr>
            <w:tcW w:w="1394" w:type="dxa"/>
          </w:tcPr>
          <w:p w:rsidR="00090EE8" w:rsidRDefault="00090EE8">
            <w:pPr>
              <w:spacing w:line="340" w:lineRule="exact"/>
              <w:jc w:val="center"/>
              <w:rPr>
                <w:rFonts w:eastAsia="微软雅黑"/>
                <w:sz w:val="24"/>
              </w:rPr>
            </w:pPr>
          </w:p>
        </w:tc>
        <w:tc>
          <w:tcPr>
            <w:tcW w:w="709" w:type="dxa"/>
          </w:tcPr>
          <w:p w:rsidR="00090EE8" w:rsidRDefault="00090EE8">
            <w:pPr>
              <w:spacing w:line="340" w:lineRule="exact"/>
              <w:jc w:val="center"/>
              <w:rPr>
                <w:rFonts w:eastAsia="微软雅黑"/>
                <w:sz w:val="24"/>
              </w:rPr>
            </w:pPr>
          </w:p>
        </w:tc>
        <w:tc>
          <w:tcPr>
            <w:tcW w:w="1354" w:type="dxa"/>
          </w:tcPr>
          <w:p w:rsidR="00090EE8" w:rsidRDefault="00090EE8">
            <w:pPr>
              <w:spacing w:line="340" w:lineRule="exact"/>
              <w:jc w:val="center"/>
              <w:rPr>
                <w:rFonts w:eastAsia="微软雅黑"/>
                <w:sz w:val="24"/>
              </w:rPr>
            </w:pPr>
          </w:p>
        </w:tc>
        <w:tc>
          <w:tcPr>
            <w:tcW w:w="2186" w:type="dxa"/>
          </w:tcPr>
          <w:p w:rsidR="00090EE8" w:rsidRDefault="00090EE8">
            <w:pPr>
              <w:spacing w:line="340" w:lineRule="exact"/>
              <w:jc w:val="center"/>
              <w:rPr>
                <w:rFonts w:eastAsia="微软雅黑"/>
                <w:sz w:val="24"/>
              </w:rPr>
            </w:pPr>
          </w:p>
        </w:tc>
        <w:tc>
          <w:tcPr>
            <w:tcW w:w="4128" w:type="dxa"/>
            <w:gridSpan w:val="2"/>
          </w:tcPr>
          <w:p w:rsidR="00090EE8" w:rsidRDefault="00090EE8">
            <w:pPr>
              <w:spacing w:line="340" w:lineRule="exact"/>
              <w:jc w:val="center"/>
              <w:rPr>
                <w:rFonts w:eastAsia="微软雅黑"/>
                <w:sz w:val="24"/>
              </w:rPr>
            </w:pPr>
          </w:p>
        </w:tc>
      </w:tr>
      <w:tr w:rsidR="00090EE8">
        <w:trPr>
          <w:trHeight w:hRule="exact" w:val="1677"/>
          <w:jc w:val="center"/>
        </w:trPr>
        <w:tc>
          <w:tcPr>
            <w:tcW w:w="5643" w:type="dxa"/>
            <w:gridSpan w:val="4"/>
            <w:vAlign w:val="center"/>
          </w:tcPr>
          <w:p w:rsidR="00090EE8" w:rsidRDefault="00932B38">
            <w:pPr>
              <w:adjustRightInd w:val="0"/>
              <w:snapToGrid w:val="0"/>
              <w:rPr>
                <w:rFonts w:eastAsia="微软雅黑"/>
                <w:b/>
                <w:sz w:val="22"/>
              </w:rPr>
            </w:pPr>
            <w:r>
              <w:rPr>
                <w:rFonts w:eastAsia="微软雅黑" w:hint="eastAsia"/>
                <w:b/>
                <w:sz w:val="22"/>
              </w:rPr>
              <w:t>帕迪公司账户信息：</w:t>
            </w:r>
          </w:p>
          <w:p w:rsidR="00090EE8" w:rsidRDefault="00932B38">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090EE8" w:rsidRDefault="00932B38">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090EE8" w:rsidRDefault="00932B38">
            <w:pPr>
              <w:adjustRightInd w:val="0"/>
              <w:snapToGrid w:val="0"/>
              <w:rPr>
                <w:rFonts w:eastAsia="微软雅黑"/>
                <w:b/>
                <w:kern w:val="10"/>
                <w:sz w:val="24"/>
              </w:rPr>
            </w:pPr>
            <w:r>
              <w:rPr>
                <w:rFonts w:eastAsia="微软雅黑" w:hint="eastAsia"/>
                <w:sz w:val="22"/>
              </w:rPr>
              <w:t>开户银行：农业银行上海市复旦支行</w:t>
            </w:r>
          </w:p>
        </w:tc>
        <w:tc>
          <w:tcPr>
            <w:tcW w:w="4128" w:type="dxa"/>
            <w:gridSpan w:val="2"/>
            <w:vAlign w:val="center"/>
          </w:tcPr>
          <w:p w:rsidR="00090EE8" w:rsidRDefault="00932B38">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90EE8" w:rsidRDefault="00932B38">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90EE8" w:rsidRDefault="00932B38">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90EE8" w:rsidRDefault="00090EE8">
            <w:pPr>
              <w:shd w:val="solid" w:color="FFFFFF" w:fill="auto"/>
              <w:autoSpaceDN w:val="0"/>
              <w:spacing w:line="360" w:lineRule="exact"/>
              <w:textAlignment w:val="baseline"/>
              <w:rPr>
                <w:rFonts w:eastAsia="微软雅黑"/>
                <w:szCs w:val="21"/>
              </w:rPr>
            </w:pPr>
          </w:p>
        </w:tc>
      </w:tr>
    </w:tbl>
    <w:p w:rsidR="00090EE8" w:rsidRDefault="00090EE8">
      <w:pPr>
        <w:widowControl/>
        <w:tabs>
          <w:tab w:val="left" w:pos="475"/>
        </w:tabs>
        <w:adjustRightInd w:val="0"/>
        <w:snapToGrid w:val="0"/>
        <w:jc w:val="left"/>
        <w:rPr>
          <w:rFonts w:ascii="微软雅黑" w:eastAsia="微软雅黑" w:hAnsi="微软雅黑" w:cs="宋体"/>
          <w:kern w:val="0"/>
          <w:sz w:val="20"/>
          <w:szCs w:val="20"/>
        </w:rPr>
      </w:pPr>
    </w:p>
    <w:sectPr w:rsidR="00090EE8">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B38" w:rsidRDefault="00932B38">
      <w:r>
        <w:separator/>
      </w:r>
    </w:p>
  </w:endnote>
  <w:endnote w:type="continuationSeparator" w:id="0">
    <w:p w:rsidR="00932B38" w:rsidRDefault="0093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E8" w:rsidRDefault="00932B38">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34807BA7"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090EE8" w:rsidRDefault="00090EE8">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B38" w:rsidRDefault="00932B38">
      <w:r>
        <w:separator/>
      </w:r>
    </w:p>
  </w:footnote>
  <w:footnote w:type="continuationSeparator" w:id="0">
    <w:p w:rsidR="00932B38" w:rsidRDefault="0093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E8" w:rsidRDefault="00932B38">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w:t>
    </w:r>
    <w:proofErr w:type="gramStart"/>
    <w:r>
      <w:rPr>
        <w:b/>
        <w:color w:val="000000" w:themeColor="text1"/>
        <w:sz w:val="21"/>
        <w:szCs w:val="21"/>
        <w14:shadow w14:blurRad="69850" w14:dist="43180" w14:dir="5400000" w14:sx="0" w14:sy="0" w14:kx="0" w14:ky="0" w14:algn="none">
          <w14:srgbClr w14:val="000000">
            <w14:alpha w14:val="35000"/>
          </w14:srgbClr>
        </w14:shadow>
      </w:rPr>
      <w:t>链培训</w:t>
    </w:r>
    <w:proofErr w:type="gramEnd"/>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5C8272"/>
    <w:multiLevelType w:val="singleLevel"/>
    <w:tmpl w:val="C65C8272"/>
    <w:lvl w:ilvl="0">
      <w:start w:val="1"/>
      <w:numFmt w:val="bullet"/>
      <w:lvlText w:val=""/>
      <w:lvlJc w:val="left"/>
      <w:pPr>
        <w:ind w:left="420" w:hanging="420"/>
      </w:pPr>
      <w:rPr>
        <w:rFonts w:ascii="Wingdings" w:hAnsi="Wingdings" w:hint="default"/>
      </w:rPr>
    </w:lvl>
  </w:abstractNum>
  <w:abstractNum w:abstractNumId="1" w15:restartNumberingAfterBreak="0">
    <w:nsid w:val="D179F1A8"/>
    <w:multiLevelType w:val="singleLevel"/>
    <w:tmpl w:val="D179F1A8"/>
    <w:lvl w:ilvl="0">
      <w:start w:val="1"/>
      <w:numFmt w:val="decimal"/>
      <w:lvlText w:val="%1."/>
      <w:lvlJc w:val="left"/>
      <w:pPr>
        <w:ind w:left="425" w:hanging="425"/>
      </w:pPr>
      <w:rPr>
        <w:rFonts w:hint="default"/>
      </w:rPr>
    </w:lvl>
  </w:abstractNum>
  <w:abstractNum w:abstractNumId="2" w15:restartNumberingAfterBreak="0">
    <w:nsid w:val="0C7D3F8E"/>
    <w:multiLevelType w:val="multilevel"/>
    <w:tmpl w:val="0C7D3F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3B53467"/>
    <w:multiLevelType w:val="multilevel"/>
    <w:tmpl w:val="13B534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61566B0"/>
    <w:multiLevelType w:val="multilevel"/>
    <w:tmpl w:val="161566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0B7B32"/>
    <w:multiLevelType w:val="multilevel"/>
    <w:tmpl w:val="190B7B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18F2"/>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0EE8"/>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30D"/>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84BF6"/>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2750C"/>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401E"/>
    <w:rsid w:val="00286B5F"/>
    <w:rsid w:val="00286EB9"/>
    <w:rsid w:val="002959A0"/>
    <w:rsid w:val="002962C7"/>
    <w:rsid w:val="0029674E"/>
    <w:rsid w:val="002A148C"/>
    <w:rsid w:val="002A1EE1"/>
    <w:rsid w:val="002A6758"/>
    <w:rsid w:val="002A7031"/>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565E"/>
    <w:rsid w:val="004A6012"/>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171BA"/>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7B7"/>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09BA"/>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0BA6"/>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2B38"/>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C4268"/>
    <w:rsid w:val="009D04C1"/>
    <w:rsid w:val="009D24D4"/>
    <w:rsid w:val="009D5C85"/>
    <w:rsid w:val="009D613B"/>
    <w:rsid w:val="009D65B2"/>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9792A"/>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A7E90"/>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27B"/>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0FF6C52"/>
    <w:rsid w:val="081A0EC0"/>
    <w:rsid w:val="0C235F7F"/>
    <w:rsid w:val="15603AE3"/>
    <w:rsid w:val="22A74606"/>
    <w:rsid w:val="4A9B0A79"/>
    <w:rsid w:val="503002AA"/>
    <w:rsid w:val="6E4F431D"/>
    <w:rsid w:val="6FA7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73842BDD"/>
  <w15:docId w15:val="{8EF4EF4C-3540-4EED-A9A6-6CF84713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qFormat/>
    <w:rPr>
      <w:color w:val="0000FF"/>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qFormat/>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87927-6F41-495E-8562-5887353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177</cp:revision>
  <cp:lastPrinted>2007-07-25T08:25:00Z</cp:lastPrinted>
  <dcterms:created xsi:type="dcterms:W3CDTF">2014-12-01T08:48:00Z</dcterms:created>
  <dcterms:modified xsi:type="dcterms:W3CDTF">2018-12-17T05:50:00Z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