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微软雅黑" w:hAnsi="微软雅黑" w:eastAsia="微软雅黑"/>
          <w:b/>
          <w:color w:val="000000" w:themeColor="text1"/>
          <w:sz w:val="36"/>
          <w:szCs w:val="36"/>
        </w:rPr>
      </w:pPr>
      <w:r>
        <w:rPr>
          <w:rFonts w:hint="eastAsia" w:ascii="微软雅黑" w:hAnsi="微软雅黑" w:eastAsia="微软雅黑"/>
          <w:b/>
          <w:color w:val="000000" w:themeColor="text1"/>
          <w:sz w:val="36"/>
          <w:szCs w:val="36"/>
        </w:rPr>
        <w:t>向华为学习</w:t>
      </w:r>
    </w:p>
    <w:p>
      <w:pPr>
        <w:spacing w:line="460" w:lineRule="exact"/>
        <w:jc w:val="center"/>
        <w:rPr>
          <w:rFonts w:ascii="微软雅黑" w:hAnsi="微软雅黑" w:eastAsia="微软雅黑"/>
          <w:b/>
          <w:color w:val="000000" w:themeColor="text1"/>
          <w:sz w:val="36"/>
          <w:szCs w:val="36"/>
        </w:rPr>
      </w:pPr>
      <w:r>
        <w:rPr>
          <w:rFonts w:hint="eastAsia" w:ascii="微软雅黑" w:hAnsi="微软雅黑" w:eastAsia="微软雅黑"/>
          <w:b/>
          <w:color w:val="000000" w:themeColor="text1"/>
          <w:sz w:val="36"/>
          <w:szCs w:val="36"/>
        </w:rPr>
        <w:t>销售项目运作与管理</w:t>
      </w:r>
    </w:p>
    <w:p>
      <w:pPr>
        <w:spacing w:line="460" w:lineRule="exact"/>
        <w:jc w:val="center"/>
        <w:rPr>
          <w:rFonts w:ascii="微软雅黑" w:hAnsi="微软雅黑" w:eastAsia="微软雅黑"/>
          <w:b/>
          <w:color w:val="000000" w:themeColor="text1"/>
          <w:sz w:val="36"/>
          <w:szCs w:val="36"/>
        </w:rPr>
      </w:pPr>
    </w:p>
    <w:tbl>
      <w:tblPr>
        <w:tblStyle w:val="6"/>
        <w:tblW w:w="9126" w:type="dxa"/>
        <w:jc w:val="center"/>
        <w:tblInd w:w="-229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2818"/>
        <w:gridCol w:w="1701"/>
        <w:gridCol w:w="1701"/>
        <w:gridCol w:w="148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  <w:jc w:val="center"/>
        </w:trPr>
        <w:tc>
          <w:tcPr>
            <w:tcW w:w="1417" w:type="dxa"/>
            <w:shd w:val="clear" w:color="auto" w:fill="0070C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4"/>
                <w:szCs w:val="24"/>
              </w:rPr>
              <w:t>开课期数</w:t>
            </w:r>
          </w:p>
        </w:tc>
        <w:tc>
          <w:tcPr>
            <w:tcW w:w="2818" w:type="dxa"/>
            <w:shd w:val="clear" w:color="auto" w:fill="0070C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4"/>
                <w:szCs w:val="24"/>
              </w:rPr>
              <w:t>开课时间</w:t>
            </w:r>
          </w:p>
        </w:tc>
        <w:tc>
          <w:tcPr>
            <w:tcW w:w="1701" w:type="dxa"/>
            <w:shd w:val="clear" w:color="auto" w:fill="0070C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4"/>
                <w:szCs w:val="24"/>
              </w:rPr>
              <w:t>星期</w:t>
            </w:r>
          </w:p>
        </w:tc>
        <w:tc>
          <w:tcPr>
            <w:tcW w:w="1701" w:type="dxa"/>
            <w:shd w:val="clear" w:color="auto" w:fill="0070C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4"/>
                <w:szCs w:val="24"/>
              </w:rPr>
              <w:t>课程费用</w:t>
            </w:r>
          </w:p>
        </w:tc>
        <w:tc>
          <w:tcPr>
            <w:tcW w:w="1489" w:type="dxa"/>
            <w:shd w:val="clear" w:color="auto" w:fill="0070C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color w:val="FFFFFF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color w:val="FFFFFF"/>
                <w:sz w:val="24"/>
                <w:szCs w:val="24"/>
              </w:rPr>
              <w:t>开课地点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第一期</w:t>
            </w:r>
          </w:p>
        </w:tc>
        <w:tc>
          <w:tcPr>
            <w:tcW w:w="2818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2019年10月19-20日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周六一周日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3800元</w:t>
            </w:r>
          </w:p>
        </w:tc>
        <w:tc>
          <w:tcPr>
            <w:tcW w:w="148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sz w:val="24"/>
                <w:szCs w:val="24"/>
              </w:rPr>
              <w:t>深圳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备注</w:t>
            </w:r>
          </w:p>
        </w:tc>
        <w:tc>
          <w:tcPr>
            <w:tcW w:w="770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  <w:szCs w:val="24"/>
              </w:rPr>
              <w:t>费用包括：午餐、学员教材、增值税专用发票、听课费、茶点费、培训证书等。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  <w:szCs w:val="24"/>
              </w:rPr>
              <w:t>培训方式：</w:t>
            </w:r>
            <w:r>
              <w:rPr>
                <w:rFonts w:hint="eastAsia" w:ascii="微软雅黑" w:hAnsi="微软雅黑" w:eastAsia="微软雅黑"/>
                <w:sz w:val="24"/>
                <w:szCs w:val="24"/>
              </w:rPr>
              <w:t>案例分析、小组讨论、角色扮演、头脑风暴</w:t>
            </w:r>
            <w:r>
              <w:rPr>
                <w:rFonts w:hint="eastAsia" w:ascii="微软雅黑" w:hAnsi="微软雅黑" w:eastAsia="微软雅黑"/>
                <w:bCs/>
                <w:kern w:val="0"/>
                <w:sz w:val="24"/>
                <w:szCs w:val="24"/>
              </w:rPr>
              <w:t>等。</w:t>
            </w:r>
          </w:p>
          <w:p>
            <w:pPr>
              <w:spacing w:line="460" w:lineRule="exact"/>
              <w:rPr>
                <w:rFonts w:ascii="微软雅黑" w:hAnsi="微软雅黑" w:eastAsia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  <w:szCs w:val="24"/>
              </w:rPr>
              <w:t>人数限制：不超过30人（为了最大化实操效果，本课程严格限制人数）</w:t>
            </w:r>
          </w:p>
          <w:p>
            <w:pPr>
              <w:spacing w:line="400" w:lineRule="exact"/>
              <w:rPr>
                <w:rFonts w:ascii="微软雅黑" w:hAnsi="微软雅黑" w:eastAsia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卓翰承诺：</w:t>
            </w:r>
            <w:r>
              <w:rPr>
                <w:rFonts w:hint="eastAsia" w:ascii="微软雅黑" w:hAnsi="微软雅黑" w:eastAsia="微软雅黑"/>
                <w:bCs/>
                <w:kern w:val="0"/>
                <w:sz w:val="24"/>
                <w:szCs w:val="24"/>
              </w:rPr>
              <w:t>听课50%内对课程质量不满意，无条件全额退款！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41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/>
                <w:sz w:val="24"/>
                <w:szCs w:val="24"/>
              </w:rPr>
              <w:t>报名流程</w:t>
            </w:r>
          </w:p>
        </w:tc>
        <w:tc>
          <w:tcPr>
            <w:tcW w:w="7709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kern w:val="0"/>
                <w:sz w:val="24"/>
                <w:szCs w:val="24"/>
              </w:rPr>
              <w:t>填写最后一页的报名回执表并发送给相关联系人</w:t>
            </w:r>
          </w:p>
        </w:tc>
      </w:tr>
    </w:tbl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【课程背景】</w:t>
      </w:r>
    </w:p>
    <w:p>
      <w:pPr>
        <w:spacing w:line="460" w:lineRule="exact"/>
        <w:ind w:firstLine="480" w:firstLineChars="200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企业级销售中，大客户经理的销售项目运作水平高低直接决定了项目的成功率，然而在实际的销售项目运作过程中，销售团队经常会：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做项目，依赖关系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和利益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纽带，一旦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失去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这层保护伞，输单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概率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大大增加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；做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项目跟着感觉走，缺乏系统分析和项目运作的策略思维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；销售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行动目标不清晰，为行动而行动，容易被友商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和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客户牵着鼻子走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；运作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项目只看点和线，不能全局的判断和分析项目缺乏对客户真正需求的探索，靠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过去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经验判断，陷入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客户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需求不匹配的僵局；售前，售中，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交付各自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为政，不能形成统一销售语言。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由于对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已有市场的轻视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和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策略的失误，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项目被友商逆风翻盘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。</w:t>
      </w:r>
    </w:p>
    <w:p>
      <w:pPr>
        <w:spacing w:line="460" w:lineRule="exact"/>
        <w:ind w:firstLine="480" w:firstLineChars="200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本课程源自华为销售项目运作与管理的经验，经过谭老师的梳理，把可以在其他企业实践的部分拿出来与大家分享。</w:t>
      </w:r>
    </w:p>
    <w:p>
      <w:pPr>
        <w:widowControl/>
        <w:shd w:val="clear" w:color="auto" w:fill="FFFFFF"/>
        <w:spacing w:line="460" w:lineRule="exac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</w:pP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【课程收益】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● 建立项目型结构化、流程化的形势分析与策略制定流程，全面的销售项目运作能力的提升训练，团队形成统一的销售项目运作打法。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● 培养项目型销售的分析，研判能力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：分析项目型决策角色，决策影响力，决策结构，决策流程，项目形势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● 提升项目型销售的应对，博弈能力：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提炼项目型决策链角色特点，关注点，提升针对客户角色制定应对措施的能力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● 增强项目型销售的控单，竞争能力：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发现项目潜在风险，锻炼并形成全局意识和策略思维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  <w:lang w:val="en-GB"/>
        </w:rPr>
      </w:pP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【课程时间】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2天，6小时/天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【课程对象】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客户经理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技术经理 交付经理 销售总监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【课程方式】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沙盘对抗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+小组研讨+案例分享+模拟实战演练+实战点评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【课前要求】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请企业准备课堂案例；小班教学，每班人数控制在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40人以内</w:t>
      </w:r>
    </w:p>
    <w:p>
      <w:pPr>
        <w:widowControl/>
        <w:shd w:val="clear" w:color="auto" w:fill="FFFFFF"/>
        <w:spacing w:line="460" w:lineRule="exact"/>
        <w:rPr>
          <w:rFonts w:ascii="微软雅黑" w:hAnsi="微软雅黑" w:eastAsia="微软雅黑" w:cs="宋体"/>
          <w:b/>
          <w:bCs/>
          <w:color w:val="000000" w:themeColor="text1"/>
          <w:kern w:val="0"/>
          <w:sz w:val="24"/>
          <w:szCs w:val="24"/>
        </w:rPr>
      </w:pPr>
    </w:p>
    <w:p>
      <w:pPr>
        <w:spacing w:line="460" w:lineRule="exact"/>
        <w:jc w:val="lef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【课程大纲】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第一讲：客户购买决策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讨论：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大客户销售的挑战？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一、大客户销售认知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大客户销售的挑战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.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营销与销售的关系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3.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项目型复杂销售及项目运作的特征和影响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二、客户购买决策的底层逻辑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客户购买决策冰山图：“w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hy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”“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how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”“w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hat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”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.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销售匹配购买冰山图：“w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hy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”“h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ow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”“w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hat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”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案例分析：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某运营商销售变革项目的“w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hy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”“how”“wh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at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”？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课堂练习：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针对一个实际案例，分析该项目的“w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hy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”“how”“w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hat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”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第二讲：项目型销售的定盘星——单一销售目标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实战案例对抗第一阶段（根据客户要求设计项目案例）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讨论：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大客户销售中最核心的问题？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一、单一销售目标的概念（S</w:t>
      </w: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SO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什么是单一销售目标（S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SO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为什么要明确S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SO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二、单一销售目标在项目运作中的作用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根据项目变化，如何调整S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SO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（加人 减人 换人）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案例：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从地市采购到省公司集采的服务器项目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练习：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1为正在运作的项目明确一个S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SO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练习：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对发生变化的项目调整S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SO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第三讲：项目型销售的温度计——形势判断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讨论：判断一个项目的维度有哪些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？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一、运作形势分析维度1——项目运作阶段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意向阶段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方案阶段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.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 xml:space="preserve"> 商务阶段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4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成交阶段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二、运作形势分析维度2——客户需求的紧迫度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紧急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正在做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3.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着手引入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4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以后再说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三、运作形势分析维度3——与友商的竞争分析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领先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落后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平手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4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单一竞争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四、项目形势分析的三维模型（阶段、紧迫度、竞争分析）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案例：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客户总监的三个问题，识别出项目的风险。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第四讲：项目型销售的客户图谱1——关键人角色的识别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讨论：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项目型销售运作中的客户角色分类有哪些？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一、项目型销售运作中的角色分类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如何判断项目最终决策影响人（E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B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如何判断项目应用选型者（U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B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如何判断项目技术选型者（T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B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4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明确项目教练（C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oach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）发展对象及目标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二、结构化认知四类角色及九种影响力（四角九力）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1. EB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分类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）E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-DB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最终决策者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）E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-PB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建议决策者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2. UB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分类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U-WB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直接使用者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U-BB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使用收益者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3</w:t>
      </w: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. TB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分类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）T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-CB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标准把关人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）T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-FB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预算把关人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）T-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AB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流程把关人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4. Coach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分类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）C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-CO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指导教练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）C-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CA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内部倡导者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案例复盘：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第一阶段案例对抗，项目形势分析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（根据客户行业设计案例）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第五讲：项目型销售的客户图谱2——关键人的态度的分析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实战案例：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对抗第二阶段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讨论：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在项目型销售中，客户对项目都有哪些态度？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一、分清客户对人的态度和对项目的态度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二、客户对项目的四种反馈态度（G</w:t>
      </w: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 xml:space="preserve"> T OC EK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态度判断1：如虎添翼型（G型客户）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态度判断2：亡羊补牢型（T型客户）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态度判断3：班门弄斧（O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C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型客户）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4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态度判断4：我行我素（E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K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型客户）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三、客户对销售的支持度分析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第六讲：项目型销售的客户图谱</w:t>
      </w: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3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——影响力参与度分析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讨论：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在项目型销售中，客户是如何影响项目的？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决策影响力模型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客户影响力的因素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客户参与度分析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第七讲：项目型销售的客户图谱</w:t>
      </w: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>4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——客户采购动机判断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讨论：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你认为，在项目中，客户的采购动机都有哪些？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1</w:t>
      </w:r>
      <w:r>
        <w:rPr>
          <w:rFonts w:ascii="微软雅黑" w:hAnsi="微软雅黑" w:eastAsia="微软雅黑"/>
          <w:b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客户采购动机的二分法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）公司价值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2）个人价值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从产品方案到业务流程的企业结果（公司价值）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从决策影响力到个人动机的个人赢（个人价值）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4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探索组织结果（公司价值）的方法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5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探索个人赢（个人价值）的方法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实战案例：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对抗第二阶段复盘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第八讲：应对关键人的策略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实战案例对抗第三阶段演练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讨论：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平时我们搞定客户的判断依据和常用手段是？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一、根据客户角色制定客户关系策略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制定应对最终决策影响人（E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B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）的策略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制定应对应用选型人（U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B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）的策略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制定应对技术选型人（T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B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）的策略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4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制定教练（C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oach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）的发展与使用策略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二、根据客户反馈态度制定客户发展措施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制定应对G型客户（如虎添翼）的措施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制定应对T型客户（亡羊补牢）的措施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制定应对O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C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型客户（班门弄斧）的措施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4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制定应对E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>K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型客户（我行我素）的措施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三、根据客户的结果与赢制定客户公关策略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客户业务需求排序分析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客户个人结果排序分析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第九讲：结构化销售项目运作流程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一、项目运作策略制定基本规则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1.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角色—阶段影响曲线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行动—阶段影响曲线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行动—反馈影响曲线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4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反馈—改变影响曲线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二、资源池使用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建设并维护销售资源池清单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明确原则并配置最优销售资源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被忽略的外部资源——客户资源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三、竞争策略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1.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关注可还是关注竞争对手？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敌我双方优劣势分析及策略应对</w:t>
      </w:r>
    </w:p>
    <w:p>
      <w:pPr>
        <w:spacing w:line="46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</w:t>
      </w:r>
      <w:r>
        <w:rPr>
          <w:rFonts w:ascii="微软雅黑" w:hAnsi="微软雅黑" w:eastAsia="微软雅黑"/>
          <w:color w:val="000000" w:themeColor="text1"/>
          <w:sz w:val="24"/>
          <w:szCs w:val="24"/>
        </w:rPr>
        <w:t xml:space="preserve">. 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标注项目潜在风险和威胁</w:t>
      </w:r>
    </w:p>
    <w:p>
      <w:pPr>
        <w:spacing w:line="460" w:lineRule="exact"/>
        <w:rPr>
          <w:rFonts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实战案例：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对抗第三阶段课堂复盘</w:t>
      </w:r>
    </w:p>
    <w:p>
      <w:pPr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/>
          <w:b/>
          <w:color w:val="000000" w:themeColor="text1"/>
          <w:sz w:val="44"/>
          <w:szCs w:val="44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/>
          <w:b/>
          <w:color w:val="000000" w:themeColor="text1"/>
          <w:sz w:val="44"/>
          <w:szCs w:val="44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/>
          <w:b/>
          <w:color w:val="000000" w:themeColor="text1"/>
          <w:sz w:val="44"/>
          <w:szCs w:val="44"/>
        </w:rPr>
      </w:pPr>
    </w:p>
    <w:p>
      <w:pPr>
        <w:spacing w:line="440" w:lineRule="exact"/>
        <w:jc w:val="center"/>
        <w:rPr>
          <w:rFonts w:hint="eastAsia" w:ascii="微软雅黑" w:hAnsi="微软雅黑" w:eastAsia="微软雅黑"/>
          <w:b/>
          <w:color w:val="000000" w:themeColor="text1"/>
          <w:sz w:val="44"/>
          <w:szCs w:val="44"/>
        </w:rPr>
      </w:pPr>
      <w:r>
        <w:rPr>
          <w:rFonts w:hint="eastAsia" w:ascii="微软雅黑" w:hAnsi="微软雅黑" w:eastAsia="微软雅黑"/>
          <w:b/>
          <w:color w:val="000000" w:themeColor="text1"/>
          <w:sz w:val="44"/>
          <w:szCs w:val="44"/>
        </w:rPr>
        <w:t>讲师介绍</w:t>
      </w:r>
    </w:p>
    <w:p>
      <w:pPr>
        <w:spacing w:line="440" w:lineRule="exact"/>
        <w:jc w:val="center"/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谭宏川  老师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  <w:r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62865</wp:posOffset>
            </wp:positionV>
            <wp:extent cx="1870075" cy="2252345"/>
            <wp:effectExtent l="0" t="0" r="0" b="0"/>
            <wp:wrapSquare wrapText="bothSides"/>
            <wp:docPr id="3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225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卓翰高级讲师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销售罗盘©SLT认证导师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信任五环©CLT认证导师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营销规划©PLT认证导师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日本产业训练MTP©认证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美国培训协会（AATCP）高级促动师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美国SPI解决方案销售认证讲师</w:t>
      </w:r>
    </w:p>
    <w:p>
      <w:pPr>
        <w:pStyle w:val="13"/>
        <w:numPr>
          <w:ilvl w:val="0"/>
          <w:numId w:val="1"/>
        </w:numPr>
        <w:spacing w:line="440" w:lineRule="exact"/>
        <w:ind w:firstLineChars="0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Esprit Changeware LTD.MOT关键时刻认证讲师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【实战经验】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曾任：华为公司 客户群总监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曾任：烽火集团 战略与市场部赋能经理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擅长领域：大客户销售技能提升、销售项目运作与管理、大客户关系管理、商务谈判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华为公司近10年市场拓展实践，在此工作期间，从区域客户代表做起，做到客户群主要负责人，积累了丰富的客户线一线销售项目作战经验。入职第一年，完成1500万回款任务，担任客户群负责人期间，带领团队用不到一年的时间，超额完成销售任务并拿下片区内格局性的电信网络改造项目，年合同金额超5个亿，主持多个网优、网改、扩容、新建项目，实现难点市场的零突破，参与多个公司级重大项目（2008年电信3G网络建设项目等）的运作，积累了丰富的销售项目运作经验。兼华为大学营销讲师，讲授营销类课程。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【授课风格】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■ 案例教学：“宰相必起于州郡，猛将必发于卒伍”，课程中萃取了大量华为营销一线作战的经典案例，以案例为药引，回顾旧知，验证新知，激发参训者更深层次的课堂思考。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■ 成熟课程：深入研究国内外著名的营销及销售理论，并结合企业实际对课程本地化，“成熟理论+本地化内容”的课程结构，使课程更具有实操性和指导性帮助参训者学而即用之。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■ 行动学习：讲授+案例+实战+工具，提倡在学习中思考，在思考中练习，在练习中成长，提供大量落地工具，通过练习实现行为习惯的转变，通过行为的改变提升销售人员绩效。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【部分典型客户】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中国移动、中国联通、中国电信、工商银行、建设银行、中国平安普惠金融、中英人寿、江苏悦达集团悦达农装、华润置地、万科地产、国家电网、中兴通讯、中通服、烽火科技、瑞思康达、上汽集团环球车享、太阳油墨、卡乐电子、中广核集团、苏州高新园区产业孵化器、东风商用车，东风南方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【主讲课程】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1.《关键时刻 ——卓越的客户服务技巧》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2.《信任为先 ——高效客户拜访与沟通》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3.《无需让步 ——双赢商务谈判技巧》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4.《破局解困 ——高层客户公关技巧》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5.《赢在行动 ——客户关系规划与管理》</w:t>
      </w:r>
    </w:p>
    <w:p>
      <w:pPr>
        <w:spacing w:line="44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b/>
          <w:color w:val="000000" w:themeColor="text1"/>
          <w:sz w:val="24"/>
          <w:szCs w:val="24"/>
        </w:rPr>
        <w:t>【近期返聘案例】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2017年6月 国家电网湖北省公司《双赢商务谈判》，返聘6期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2017年7月 工商银行培训中心支行长《营销管理规划》，返聘3期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2017年8月 建行《对公客户经理顾问式销售技巧》，返聘5期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2017年9月 中南财经政法大学MBA学员《营销总裁班（营销规划）》，返聘3期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2017年10月 江苏悦达农装《顾问式销售技巧》，返聘2期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2017年10月 湖南电信天翼云《客户关系管理》，返聘2期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2017年11月 烽火信息集成技术有限公司《顾问式销售技巧》，返聘2期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2017年11月 苏州油墨股份有限公司《客户服务技巧》，返聘2期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2017年11月 中广核检测技术有限公司《客户服务技巧》，返聘4期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2018年2月 江苏省高速公路《顾问式销售技巧》，返聘 4期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2018年3月 慈铭体检《顾问式销售技巧》，返聘3期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2018年3月 上汽集团环球车享《专业客户拜访与沟通》，返聘3期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2018年7月 武汉南瑞电力检测事业部《商务谈判》，返聘 2期</w:t>
      </w:r>
      <w:bookmarkStart w:id="0" w:name="_GoBack"/>
      <w:bookmarkEnd w:id="0"/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2018年7月 新石电力工程技术《销售项目运作与管理》，返聘2期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2018年7月 武汉畅能电力工程《销售项目运作与管理》，返聘2期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2018年8月 七七沙拉餐饮集团《客户服务技巧》</w:t>
      </w:r>
      <w:r>
        <w:rPr>
          <w:rFonts w:hint="eastAsia" w:ascii="微软雅黑" w:hAnsi="微软雅黑" w:eastAsia="微软雅黑"/>
          <w:color w:val="000000" w:themeColor="text1"/>
          <w:szCs w:val="21"/>
        </w:rPr>
        <w:t>，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</w:rPr>
        <w:t>返聘 5期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default" w:ascii="微软雅黑" w:hAnsi="微软雅黑" w:eastAsia="微软雅黑"/>
          <w:color w:val="000000" w:themeColor="text1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eastAsia="zh-CN"/>
        </w:rPr>
        <w:t>咨询电话：</w:t>
      </w:r>
      <w:r>
        <w:rPr>
          <w:rFonts w:hint="eastAsia" w:ascii="微软雅黑" w:hAnsi="微软雅黑" w:eastAsia="微软雅黑"/>
          <w:color w:val="000000" w:themeColor="text1"/>
          <w:sz w:val="24"/>
          <w:szCs w:val="24"/>
          <w:lang w:val="en-US" w:eastAsia="zh-CN"/>
        </w:rPr>
        <w:t>400-061-6586</w:t>
      </w: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spacing w:line="440" w:lineRule="exact"/>
        <w:rPr>
          <w:rFonts w:hint="eastAsia" w:ascii="微软雅黑" w:hAnsi="微软雅黑" w:eastAsia="微软雅黑"/>
          <w:color w:val="000000" w:themeColor="text1"/>
          <w:sz w:val="24"/>
          <w:szCs w:val="24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b/>
          <w:color w:val="000000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b/>
          <w:color w:val="000000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b/>
          <w:color w:val="000000"/>
          <w:sz w:val="36"/>
          <w:szCs w:val="36"/>
        </w:rPr>
      </w:pPr>
    </w:p>
    <w:p>
      <w:pPr>
        <w:adjustRightInd w:val="0"/>
        <w:snapToGrid w:val="0"/>
        <w:spacing w:line="360" w:lineRule="auto"/>
        <w:jc w:val="center"/>
        <w:rPr>
          <w:rFonts w:hint="eastAsia" w:ascii="黑体" w:hAnsi="宋体" w:eastAsia="黑体"/>
          <w:b/>
          <w:color w:val="000000"/>
          <w:sz w:val="36"/>
          <w:szCs w:val="36"/>
        </w:rPr>
      </w:pPr>
      <w:r>
        <w:rPr>
          <w:rFonts w:hint="eastAsia" w:ascii="黑体" w:hAnsi="宋体" w:eastAsia="黑体"/>
          <w:b/>
          <w:color w:val="000000"/>
          <w:sz w:val="36"/>
          <w:szCs w:val="36"/>
        </w:rPr>
        <w:t>卓翰培训·公开课/沙龙·课程报名表</w:t>
      </w:r>
    </w:p>
    <w:tbl>
      <w:tblPr>
        <w:tblStyle w:val="6"/>
        <w:tblW w:w="9158" w:type="dxa"/>
        <w:jc w:val="center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7"/>
        <w:gridCol w:w="1560"/>
        <w:gridCol w:w="2268"/>
        <w:gridCol w:w="1417"/>
        <w:gridCol w:w="23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158" w:type="dxa"/>
            <w:gridSpan w:val="5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spacing w:val="100"/>
              </w:rPr>
            </w:pPr>
            <w:r>
              <w:rPr>
                <w:rFonts w:hint="eastAsia" w:ascii="宋体" w:hAnsi="宋体"/>
                <w:b/>
                <w:spacing w:val="100"/>
              </w:rPr>
              <w:t>课程信息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7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课程名称</w:t>
            </w:r>
          </w:p>
        </w:tc>
        <w:tc>
          <w:tcPr>
            <w:tcW w:w="7601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7" w:type="dxa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主讲老师</w:t>
            </w:r>
          </w:p>
        </w:tc>
        <w:tc>
          <w:tcPr>
            <w:tcW w:w="7601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7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培训时间</w:t>
            </w:r>
          </w:p>
        </w:tc>
        <w:tc>
          <w:tcPr>
            <w:tcW w:w="7601" w:type="dxa"/>
            <w:gridSpan w:val="4"/>
          </w:tcPr>
          <w:p>
            <w:pPr>
              <w:spacing w:line="360" w:lineRule="auto"/>
              <w:jc w:val="left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7" w:type="dxa"/>
            <w:tcBorders>
              <w:bottom w:val="single" w:color="000000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培训地点</w:t>
            </w:r>
          </w:p>
        </w:tc>
        <w:tc>
          <w:tcPr>
            <w:tcW w:w="7601" w:type="dxa"/>
            <w:gridSpan w:val="4"/>
            <w:tcBorders>
              <w:bottom w:val="single" w:color="000000" w:sz="8" w:space="0"/>
            </w:tcBorders>
          </w:tcPr>
          <w:p>
            <w:pPr>
              <w:spacing w:line="360" w:lineRule="auto"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158" w:type="dxa"/>
            <w:gridSpan w:val="5"/>
            <w:tcBorders>
              <w:top w:val="single" w:color="000000" w:sz="8" w:space="0"/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pacing w:val="100"/>
              </w:rPr>
            </w:pPr>
            <w:r>
              <w:rPr>
                <w:rFonts w:hint="eastAsia" w:ascii="宋体" w:hAnsi="宋体"/>
                <w:b/>
                <w:spacing w:val="100"/>
              </w:rPr>
              <w:t>报名信息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7" w:type="dxa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公司名称</w:t>
            </w:r>
          </w:p>
        </w:tc>
        <w:tc>
          <w:tcPr>
            <w:tcW w:w="7601" w:type="dxa"/>
            <w:gridSpan w:val="4"/>
            <w:tcBorders>
              <w:top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7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联系人信息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</w:rPr>
              <w:t>电话</w:t>
            </w:r>
          </w:p>
        </w:tc>
        <w:tc>
          <w:tcPr>
            <w:tcW w:w="2356" w:type="dxa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557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手机</w:t>
            </w:r>
          </w:p>
        </w:tc>
        <w:tc>
          <w:tcPr>
            <w:tcW w:w="2268" w:type="dxa"/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传真</w:t>
            </w:r>
          </w:p>
        </w:tc>
        <w:tc>
          <w:tcPr>
            <w:tcW w:w="2356" w:type="dxa"/>
          </w:tcPr>
          <w:p>
            <w:pPr>
              <w:spacing w:line="360" w:lineRule="auto"/>
              <w:rPr>
                <w:rFonts w:hint="eastAsia" w:ascii="宋体" w:hAnsi="宋体"/>
                <w:b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9158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参 训 人 信 息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7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姓名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职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务</w:t>
            </w: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手</w:t>
            </w:r>
            <w:r>
              <w:rPr>
                <w:rFonts w:ascii="宋体" w:hAnsi="宋体"/>
                <w:b/>
              </w:rPr>
              <w:t xml:space="preserve">  </w:t>
            </w:r>
            <w:r>
              <w:rPr>
                <w:rFonts w:hint="eastAsia" w:ascii="宋体" w:hAnsi="宋体"/>
                <w:b/>
              </w:rPr>
              <w:t>机</w:t>
            </w:r>
          </w:p>
        </w:tc>
        <w:tc>
          <w:tcPr>
            <w:tcW w:w="3773" w:type="dxa"/>
            <w:gridSpan w:val="2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E-mail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773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773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773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773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7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2268" w:type="dxa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3773" w:type="dxa"/>
            <w:gridSpan w:val="2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557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付款方式</w:t>
            </w:r>
          </w:p>
        </w:tc>
        <w:tc>
          <w:tcPr>
            <w:tcW w:w="3828" w:type="dxa"/>
            <w:gridSpan w:val="2"/>
            <w:vAlign w:val="center"/>
          </w:tcPr>
          <w:p>
            <w:pPr>
              <w:spacing w:line="360" w:lineRule="auto"/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□转公司账户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               </w:t>
            </w:r>
            <w:r>
              <w:rPr>
                <w:rFonts w:ascii="宋体" w:hAnsi="宋体"/>
              </w:rPr>
              <w:t xml:space="preserve"> </w:t>
            </w:r>
          </w:p>
        </w:tc>
        <w:tc>
          <w:tcPr>
            <w:tcW w:w="3773" w:type="dxa"/>
            <w:gridSpan w:val="2"/>
            <w:vAlign w:val="center"/>
          </w:tcPr>
          <w:p>
            <w:pPr>
              <w:spacing w:line="360" w:lineRule="auto"/>
              <w:ind w:firstLine="210" w:firstLineChars="100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  <w:jc w:val="center"/>
        </w:trPr>
        <w:tc>
          <w:tcPr>
            <w:tcW w:w="1557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账号信息</w:t>
            </w:r>
          </w:p>
        </w:tc>
        <w:tc>
          <w:tcPr>
            <w:tcW w:w="7601" w:type="dxa"/>
            <w:gridSpan w:val="4"/>
            <w:vAlign w:val="center"/>
          </w:tcPr>
          <w:p>
            <w:pPr>
              <w:adjustRightInd w:val="0"/>
              <w:snapToGrid w:val="0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公司账户：                            </w:t>
            </w:r>
          </w:p>
          <w:p>
            <w:pPr>
              <w:adjustRightInd w:val="0"/>
              <w:snapToGrid w:val="0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户名 ：上海卓翰企业管理有限公司         </w:t>
            </w:r>
          </w:p>
          <w:p>
            <w:pPr>
              <w:ind w:firstLine="105" w:firstLineChars="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开户银行：上海农村商业银行</w:t>
            </w:r>
            <w:r>
              <w:rPr>
                <w:rFonts w:ascii="宋体" w:hAnsi="宋体" w:cs="宋体"/>
                <w:kern w:val="0"/>
                <w:sz w:val="24"/>
              </w:rPr>
              <w:t xml:space="preserve">双创支行 </w:t>
            </w:r>
          </w:p>
          <w:p>
            <w:pPr>
              <w:adjustRightInd w:val="0"/>
              <w:snapToGrid w:val="0"/>
              <w:ind w:firstLine="105" w:firstLineChars="50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账号 ：32454938010001855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557" w:type="dxa"/>
            <w:vAlign w:val="center"/>
          </w:tcPr>
          <w:p>
            <w:pPr>
              <w:spacing w:line="360" w:lineRule="auto"/>
              <w:ind w:firstLine="211" w:firstLineChars="100"/>
              <w:jc w:val="center"/>
              <w:rPr>
                <w:rFonts w:hint="eastAsia" w:ascii="宋体" w:hAnsi="宋体"/>
                <w:b/>
              </w:rPr>
            </w:pPr>
          </w:p>
        </w:tc>
        <w:tc>
          <w:tcPr>
            <w:tcW w:w="7601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440" w:lineRule="exact"/>
        <w:rPr>
          <w:rFonts w:ascii="微软雅黑" w:hAnsi="微软雅黑" w:eastAsia="微软雅黑"/>
          <w:color w:val="000000" w:themeColor="text1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0" w:footer="992" w:gutter="0"/>
      <w:pgBorders w:offsetFrom="page">
        <w:top w:val="single" w:color="1B4881" w:sz="24" w:space="24"/>
        <w:left w:val="single" w:color="1B4881" w:sz="24" w:space="24"/>
        <w:bottom w:val="single" w:color="1B4881" w:sz="24" w:space="24"/>
        <w:right w:val="single" w:color="1B4881" w:sz="24" w:space="24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beforeLines="50"/>
      <w:jc w:val="both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</w:tabs>
    </w:pPr>
    <w: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-424815</wp:posOffset>
          </wp:positionH>
          <wp:positionV relativeFrom="margin">
            <wp:posOffset>-494030</wp:posOffset>
          </wp:positionV>
          <wp:extent cx="1247775" cy="472440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-810260</wp:posOffset>
          </wp:positionH>
          <wp:positionV relativeFrom="margin">
            <wp:posOffset>66675</wp:posOffset>
          </wp:positionV>
          <wp:extent cx="6906895" cy="248920"/>
          <wp:effectExtent l="0" t="0" r="8255" b="0"/>
          <wp:wrapSquare wrapText="bothSides"/>
          <wp:docPr id="1" name="图片 1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6895" cy="248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</w:rPr>
      <w:t>ngy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5512"/>
    <w:multiLevelType w:val="multilevel"/>
    <w:tmpl w:val="61C7551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4261C"/>
    <w:rsid w:val="000511E7"/>
    <w:rsid w:val="00061758"/>
    <w:rsid w:val="000F48EB"/>
    <w:rsid w:val="000F7C9A"/>
    <w:rsid w:val="00133BF6"/>
    <w:rsid w:val="00141AA9"/>
    <w:rsid w:val="0016168A"/>
    <w:rsid w:val="001766D4"/>
    <w:rsid w:val="001943A4"/>
    <w:rsid w:val="001B37A7"/>
    <w:rsid w:val="001F1B5C"/>
    <w:rsid w:val="0023550F"/>
    <w:rsid w:val="0024261C"/>
    <w:rsid w:val="002B6B62"/>
    <w:rsid w:val="002E7BB8"/>
    <w:rsid w:val="003162AA"/>
    <w:rsid w:val="00332C4F"/>
    <w:rsid w:val="00357E7A"/>
    <w:rsid w:val="003B01F8"/>
    <w:rsid w:val="003D13B0"/>
    <w:rsid w:val="003D28C7"/>
    <w:rsid w:val="003F04A0"/>
    <w:rsid w:val="00413073"/>
    <w:rsid w:val="00430AF0"/>
    <w:rsid w:val="00473604"/>
    <w:rsid w:val="0047746A"/>
    <w:rsid w:val="004B5A34"/>
    <w:rsid w:val="004E6456"/>
    <w:rsid w:val="00517436"/>
    <w:rsid w:val="00553B7A"/>
    <w:rsid w:val="00562D67"/>
    <w:rsid w:val="005C1652"/>
    <w:rsid w:val="005C49F8"/>
    <w:rsid w:val="005E7D65"/>
    <w:rsid w:val="00670061"/>
    <w:rsid w:val="006A58D1"/>
    <w:rsid w:val="006B5D41"/>
    <w:rsid w:val="006F60B7"/>
    <w:rsid w:val="007038D6"/>
    <w:rsid w:val="00757A3F"/>
    <w:rsid w:val="00773BB9"/>
    <w:rsid w:val="007842D0"/>
    <w:rsid w:val="007D737E"/>
    <w:rsid w:val="007F0478"/>
    <w:rsid w:val="008002B6"/>
    <w:rsid w:val="00892597"/>
    <w:rsid w:val="008978A1"/>
    <w:rsid w:val="008C5D86"/>
    <w:rsid w:val="008E4B1E"/>
    <w:rsid w:val="00972E24"/>
    <w:rsid w:val="0099626C"/>
    <w:rsid w:val="00A15232"/>
    <w:rsid w:val="00A6677B"/>
    <w:rsid w:val="00A712AA"/>
    <w:rsid w:val="00A86BF0"/>
    <w:rsid w:val="00A93F2A"/>
    <w:rsid w:val="00AC07F4"/>
    <w:rsid w:val="00AD2409"/>
    <w:rsid w:val="00AF0836"/>
    <w:rsid w:val="00B67E51"/>
    <w:rsid w:val="00B81BE4"/>
    <w:rsid w:val="00BB6F0F"/>
    <w:rsid w:val="00BD4A4B"/>
    <w:rsid w:val="00BD7C1C"/>
    <w:rsid w:val="00C10BF6"/>
    <w:rsid w:val="00C5676A"/>
    <w:rsid w:val="00C73954"/>
    <w:rsid w:val="00C8394B"/>
    <w:rsid w:val="00C95336"/>
    <w:rsid w:val="00CC7029"/>
    <w:rsid w:val="00D10149"/>
    <w:rsid w:val="00D13898"/>
    <w:rsid w:val="00D32F35"/>
    <w:rsid w:val="00D75FD2"/>
    <w:rsid w:val="00DC2E89"/>
    <w:rsid w:val="00DD7CE9"/>
    <w:rsid w:val="00DF357F"/>
    <w:rsid w:val="00E02028"/>
    <w:rsid w:val="00E04099"/>
    <w:rsid w:val="00E13B4C"/>
    <w:rsid w:val="00E541E2"/>
    <w:rsid w:val="00EC40AB"/>
    <w:rsid w:val="00EE6BDB"/>
    <w:rsid w:val="00EF5E71"/>
    <w:rsid w:val="00F174B3"/>
    <w:rsid w:val="00F84645"/>
    <w:rsid w:val="00F94556"/>
    <w:rsid w:val="214535DA"/>
    <w:rsid w:val="32272980"/>
    <w:rsid w:val="5FE8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edu</Company>
  <Pages>11</Pages>
  <Words>711</Words>
  <Characters>4053</Characters>
  <Lines>33</Lines>
  <Paragraphs>9</Paragraphs>
  <TotalTime>66</TotalTime>
  <ScaleCrop>false</ScaleCrop>
  <LinksUpToDate>false</LinksUpToDate>
  <CharactersWithSpaces>4755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2016-06-27T08:52:00Z</dcterms:created>
  <dc:creator>卓翰培训</dc:creator>
  <cp:lastModifiedBy>蓝海智慧郑老师</cp:lastModifiedBy>
  <dcterms:modified xsi:type="dcterms:W3CDTF">2019-07-24T01:08:50Z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