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rPr>
        <w:drawing>
          <wp:anchor distT="0" distB="0" distL="114935" distR="114935" simplePos="0" relativeHeight="251787264" behindDoc="1" locked="0" layoutInCell="1" allowOverlap="1">
            <wp:simplePos x="0" y="0"/>
            <wp:positionH relativeFrom="column">
              <wp:posOffset>-1143000</wp:posOffset>
            </wp:positionH>
            <wp:positionV relativeFrom="paragraph">
              <wp:posOffset>-921385</wp:posOffset>
            </wp:positionV>
            <wp:extent cx="7569200" cy="10704830"/>
            <wp:effectExtent l="0" t="0" r="12700" b="1270"/>
            <wp:wrapNone/>
            <wp:docPr id="10" name="图片 10" descr="内训封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内训封面-2"/>
                    <pic:cNvPicPr>
                      <a:picLocks noChangeAspect="1"/>
                    </pic:cNvPicPr>
                  </pic:nvPicPr>
                  <pic:blipFill>
                    <a:blip r:embed="rId6"/>
                    <a:stretch>
                      <a:fillRect/>
                    </a:stretch>
                  </pic:blipFill>
                  <pic:spPr>
                    <a:xfrm>
                      <a:off x="0" y="0"/>
                      <a:ext cx="7569200" cy="10704830"/>
                    </a:xfrm>
                    <a:prstGeom prst="rect">
                      <a:avLst/>
                    </a:prstGeom>
                  </pic:spPr>
                </pic:pic>
              </a:graphicData>
            </a:graphic>
          </wp:anchor>
        </w:drawing>
      </w:r>
    </w:p>
    <w:p/>
    <w:p/>
    <w:p/>
    <w:p/>
    <w:p/>
    <w:p/>
    <w:p/>
    <w:p/>
    <w:p/>
    <w:p/>
    <w:p/>
    <w:p>
      <w:bookmarkStart w:id="0" w:name="_GoBack"/>
      <w:bookmarkEnd w:id="0"/>
      <w:r>
        <mc:AlternateContent>
          <mc:Choice Requires="wps">
            <w:drawing>
              <wp:anchor distT="0" distB="0" distL="114300" distR="114300" simplePos="0" relativeHeight="251688960" behindDoc="0" locked="0" layoutInCell="1" allowOverlap="1">
                <wp:simplePos x="0" y="0"/>
                <wp:positionH relativeFrom="column">
                  <wp:posOffset>-346710</wp:posOffset>
                </wp:positionH>
                <wp:positionV relativeFrom="paragraph">
                  <wp:posOffset>163195</wp:posOffset>
                </wp:positionV>
                <wp:extent cx="7191375" cy="1184910"/>
                <wp:effectExtent l="0" t="0" r="0" b="0"/>
                <wp:wrapNone/>
                <wp:docPr id="6" name="文本框 6"/>
                <wp:cNvGraphicFramePr/>
                <a:graphic xmlns:a="http://schemas.openxmlformats.org/drawingml/2006/main">
                  <a:graphicData uri="http://schemas.microsoft.com/office/word/2010/wordprocessingShape">
                    <wps:wsp>
                      <wps:cNvSpPr txBox="1"/>
                      <wps:spPr>
                        <a:xfrm>
                          <a:off x="0" y="0"/>
                          <a:ext cx="7191375" cy="1184910"/>
                        </a:xfrm>
                        <a:prstGeom prst="rect">
                          <a:avLst/>
                        </a:prstGeom>
                        <a:noFill/>
                        <a:ln w="6350">
                          <a:noFill/>
                        </a:ln>
                      </wps:spPr>
                      <wps:txbx>
                        <w:txbxContent>
                          <w:p>
                            <w:pPr>
                              <w:rPr>
                                <w:rFonts w:hint="eastAsia" w:ascii="微软雅黑" w:hAnsi="微软雅黑" w:eastAsia="微软雅黑" w:cs="微软雅黑"/>
                                <w:b/>
                                <w:bCs/>
                                <w:color w:val="FFFFFF" w:themeColor="background1"/>
                                <w:sz w:val="72"/>
                                <w:szCs w:val="144"/>
                                <w14:textFill>
                                  <w14:solidFill>
                                    <w14:schemeClr w14:val="bg1"/>
                                  </w14:solidFill>
                                </w14:textFill>
                              </w:rPr>
                            </w:pPr>
                            <w:r>
                              <w:rPr>
                                <w:rFonts w:hint="eastAsia" w:ascii="微软雅黑" w:hAnsi="微软雅黑" w:eastAsia="微软雅黑" w:cs="微软雅黑"/>
                                <w:b/>
                                <w:bCs/>
                                <w:color w:val="FFFFFF" w:themeColor="background1"/>
                                <w:sz w:val="72"/>
                                <w:szCs w:val="144"/>
                                <w14:textFill>
                                  <w14:solidFill>
                                    <w14:schemeClr w14:val="bg1"/>
                                  </w14:solidFill>
                                </w14:textFill>
                              </w:rPr>
                              <w:t>海外业务模式选择与合同管理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pt;margin-top:12.85pt;height:93.3pt;width:566.25pt;z-index:251688960;mso-width-relative:page;mso-height-relative:page;" filled="f" stroked="f" coordsize="21600,21600" o:gfxdata="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G0xX9wAAAALAQAADwAAAAAAAAABACAAAAAiAAAAZHJzL2Rvd25yZXYueG1sUEsBAhQAFAAAAAgA&#10;h07iQAztPNYhAgAAGQQAAA4AAAAAAAAAAQAgAAAAKwEAAGRycy9lMm9Eb2MueG1sUEsFBgAAAAAG&#10;AAYAWQEAAL4FAAAAAA==&#10;">
                <v:fill on="f" focussize="0,0"/>
                <v:stroke on="f" weight="0.5pt"/>
                <v:imagedata o:title=""/>
                <o:lock v:ext="edit" aspectratio="f"/>
                <v:textbox>
                  <w:txbxContent>
                    <w:p>
                      <w:pPr>
                        <w:rPr>
                          <w:rFonts w:hint="eastAsia" w:ascii="微软雅黑" w:hAnsi="微软雅黑" w:eastAsia="微软雅黑" w:cs="微软雅黑"/>
                          <w:b/>
                          <w:bCs/>
                          <w:color w:val="FFFFFF" w:themeColor="background1"/>
                          <w:sz w:val="72"/>
                          <w:szCs w:val="144"/>
                          <w14:textFill>
                            <w14:solidFill>
                              <w14:schemeClr w14:val="bg1"/>
                            </w14:solidFill>
                          </w14:textFill>
                        </w:rPr>
                      </w:pPr>
                      <w:r>
                        <w:rPr>
                          <w:rFonts w:hint="eastAsia" w:ascii="微软雅黑" w:hAnsi="微软雅黑" w:eastAsia="微软雅黑" w:cs="微软雅黑"/>
                          <w:b/>
                          <w:bCs/>
                          <w:color w:val="FFFFFF" w:themeColor="background1"/>
                          <w:sz w:val="72"/>
                          <w:szCs w:val="144"/>
                          <w14:textFill>
                            <w14:solidFill>
                              <w14:schemeClr w14:val="bg1"/>
                            </w14:solidFill>
                          </w14:textFill>
                        </w:rPr>
                        <w:t>海外业务模式选择与合同管理</w:t>
                      </w:r>
                    </w:p>
                  </w:txbxContent>
                </v:textbox>
              </v:shape>
            </w:pict>
          </mc:Fallback>
        </mc:AlternateContent>
      </w:r>
    </w:p>
    <w:p/>
    <w:p/>
    <w:p/>
    <w:p/>
    <w:p>
      <w:r>
        <mc:AlternateContent>
          <mc:Choice Requires="wps">
            <w:drawing>
              <wp:anchor distT="0" distB="0" distL="114300" distR="114300" simplePos="0" relativeHeight="251720704" behindDoc="0" locked="0" layoutInCell="1" allowOverlap="1">
                <wp:simplePos x="0" y="0"/>
                <wp:positionH relativeFrom="column">
                  <wp:posOffset>267335</wp:posOffset>
                </wp:positionH>
                <wp:positionV relativeFrom="paragraph">
                  <wp:posOffset>133985</wp:posOffset>
                </wp:positionV>
                <wp:extent cx="5744845" cy="1522730"/>
                <wp:effectExtent l="0" t="0" r="0" b="0"/>
                <wp:wrapNone/>
                <wp:docPr id="7" name="文本框 7"/>
                <wp:cNvGraphicFramePr/>
                <a:graphic xmlns:a="http://schemas.openxmlformats.org/drawingml/2006/main">
                  <a:graphicData uri="http://schemas.microsoft.com/office/word/2010/wordprocessingShape">
                    <wps:wsp>
                      <wps:cNvSpPr txBox="1"/>
                      <wps:spPr>
                        <a:xfrm>
                          <a:off x="0" y="0"/>
                          <a:ext cx="5744845" cy="1522730"/>
                        </a:xfrm>
                        <a:prstGeom prst="rect">
                          <a:avLst/>
                        </a:prstGeom>
                        <a:noFill/>
                        <a:ln w="6350">
                          <a:noFill/>
                        </a:ln>
                      </wps:spPr>
                      <wps:txbx>
                        <w:txbxContent>
                          <w:p>
                            <w:pPr>
                              <w:spacing w:line="440" w:lineRule="exact"/>
                              <w:jc w:val="left"/>
                              <w:rPr>
                                <w:rFonts w:hint="eastAsia" w:ascii="微软雅黑" w:hAnsi="微软雅黑" w:eastAsia="微软雅黑" w:cs="微软雅黑"/>
                                <w:color w:val="FFFFFF" w:themeColor="background1"/>
                                <w:sz w:val="24"/>
                                <w:szCs w:val="32"/>
                                <w14:textFill>
                                  <w14:solidFill>
                                    <w14:schemeClr w14:val="bg1"/>
                                  </w14:solidFill>
                                </w14:textFill>
                              </w:rPr>
                            </w:pPr>
                            <w:r>
                              <w:rPr>
                                <w:rFonts w:hint="eastAsia" w:ascii="微软雅黑" w:hAnsi="微软雅黑" w:eastAsia="微软雅黑" w:cs="微软雅黑"/>
                                <w:color w:val="FFFFFF" w:themeColor="background1"/>
                                <w:sz w:val="24"/>
                                <w:szCs w:val="32"/>
                                <w14:textFill>
                                  <w14:solidFill>
                                    <w14:schemeClr w14:val="bg1"/>
                                  </w14:solidFill>
                                </w14:textFill>
                              </w:rPr>
                              <w:t>学习对象：董事长、业务一把手、公司财务负责人、共享中心负责人</w:t>
                            </w:r>
                          </w:p>
                          <w:p>
                            <w:pPr>
                              <w:spacing w:line="440" w:lineRule="exact"/>
                              <w:jc w:val="left"/>
                              <w:rPr>
                                <w:rFonts w:ascii="微软雅黑" w:hAnsi="微软雅黑" w:eastAsia="微软雅黑" w:cs="微软雅黑"/>
                                <w:color w:val="FFFFFF" w:themeColor="background1"/>
                                <w:sz w:val="24"/>
                                <w:szCs w:val="24"/>
                                <w14:textFill>
                                  <w14:solidFill>
                                    <w14:schemeClr w14:val="bg1"/>
                                  </w14:solidFill>
                                </w14:textFill>
                              </w:rPr>
                            </w:pPr>
                            <w:r>
                              <w:rPr>
                                <w:rFonts w:hint="eastAsia" w:ascii="微软雅黑" w:hAnsi="微软雅黑" w:eastAsia="微软雅黑" w:cs="微软雅黑"/>
                                <w:color w:val="FFFFFF" w:themeColor="background1"/>
                                <w:sz w:val="24"/>
                                <w:szCs w:val="32"/>
                                <w14:textFill>
                                  <w14:solidFill>
                                    <w14:schemeClr w14:val="bg1"/>
                                  </w14:solidFill>
                                </w14:textFill>
                              </w:rPr>
                              <w:t>授课讲师：</w:t>
                            </w:r>
                            <w:r>
                              <w:rPr>
                                <w:rFonts w:hint="eastAsia" w:ascii="微软雅黑" w:hAnsi="微软雅黑" w:eastAsia="微软雅黑" w:cs="微软雅黑"/>
                                <w:b/>
                                <w:bCs/>
                                <w:color w:val="FFFFFF" w:themeColor="background1"/>
                                <w:sz w:val="24"/>
                                <w:szCs w:val="24"/>
                                <w14:textFill>
                                  <w14:solidFill>
                                    <w14:schemeClr w14:val="bg1"/>
                                  </w14:solidFill>
                                </w14:textFill>
                              </w:rPr>
                              <w:t>张</w:t>
                            </w:r>
                            <w:r>
                              <w:rPr>
                                <w:rFonts w:hint="eastAsia" w:ascii="微软雅黑" w:hAnsi="微软雅黑" w:eastAsia="微软雅黑" w:cs="微软雅黑"/>
                                <w:b/>
                                <w:bCs/>
                                <w:color w:val="FFFFFF" w:themeColor="background1"/>
                                <w:sz w:val="24"/>
                                <w:szCs w:val="24"/>
                                <w:lang w:eastAsia="zh-CN"/>
                                <w14:textFill>
                                  <w14:solidFill>
                                    <w14:schemeClr w14:val="bg1"/>
                                  </w14:solidFill>
                                </w14:textFill>
                              </w:rPr>
                              <w:t>老师</w:t>
                            </w:r>
                            <w:r>
                              <w:rPr>
                                <w:rFonts w:hint="eastAsia" w:ascii="微软雅黑" w:hAnsi="微软雅黑" w:eastAsia="微软雅黑" w:cs="微软雅黑"/>
                                <w:color w:val="FFFFFF" w:themeColor="background1"/>
                                <w:sz w:val="24"/>
                                <w:szCs w:val="24"/>
                                <w14:textFill>
                                  <w14:solidFill>
                                    <w14:schemeClr w14:val="bg1"/>
                                  </w14:solidFill>
                                </w14:textFill>
                              </w:rPr>
                              <w:t xml:space="preserve"> 原华为海外地区部客户及项目财务总监、10年华为工作经验</w:t>
                            </w:r>
                          </w:p>
                          <w:p>
                            <w:pPr>
                              <w:spacing w:line="440" w:lineRule="exact"/>
                              <w:jc w:val="left"/>
                              <w:rPr>
                                <w:rFonts w:ascii="微软雅黑" w:hAnsi="微软雅黑" w:eastAsia="微软雅黑" w:cs="微软雅黑"/>
                                <w:color w:val="FFFFFF" w:themeColor="background1"/>
                                <w:sz w:val="24"/>
                                <w:szCs w:val="32"/>
                                <w14:textFill>
                                  <w14:solidFill>
                                    <w14:schemeClr w14:val="bg1"/>
                                  </w14:solidFill>
                                </w14:textFill>
                              </w:rPr>
                            </w:pPr>
                            <w:r>
                              <w:rPr>
                                <w:rFonts w:hint="eastAsia" w:ascii="微软雅黑" w:hAnsi="微软雅黑" w:eastAsia="微软雅黑" w:cs="微软雅黑"/>
                                <w:color w:val="FFFFFF" w:themeColor="background1"/>
                                <w:sz w:val="24"/>
                                <w:szCs w:val="32"/>
                                <w14:textFill>
                                  <w14:solidFill>
                                    <w14:schemeClr w14:val="bg1"/>
                                  </w14:solidFill>
                                </w14:textFill>
                              </w:rPr>
                              <w:t>标准课时：</w:t>
                            </w:r>
                            <w:r>
                              <w:rPr>
                                <w:rFonts w:hint="eastAsia" w:ascii="微软雅黑" w:hAnsi="微软雅黑" w:eastAsia="微软雅黑" w:cs="微软雅黑"/>
                                <w:color w:val="FFFFFF" w:themeColor="background1"/>
                                <w:sz w:val="24"/>
                                <w:szCs w:val="32"/>
                                <w:lang w:val="en-US" w:eastAsia="zh-CN"/>
                                <w14:textFill>
                                  <w14:solidFill>
                                    <w14:schemeClr w14:val="bg1"/>
                                  </w14:solidFill>
                                </w14:textFill>
                              </w:rPr>
                              <w:t>12</w:t>
                            </w:r>
                            <w:r>
                              <w:rPr>
                                <w:rFonts w:hint="eastAsia" w:ascii="微软雅黑" w:hAnsi="微软雅黑" w:eastAsia="微软雅黑" w:cs="微软雅黑"/>
                                <w:color w:val="FFFFFF" w:themeColor="background1"/>
                                <w:sz w:val="24"/>
                                <w:szCs w:val="32"/>
                                <w14:textFill>
                                  <w14:solidFill>
                                    <w14:schemeClr w14:val="bg1"/>
                                  </w14:solidFill>
                                </w14:textFill>
                              </w:rPr>
                              <w:t>课时（</w:t>
                            </w:r>
                            <w:r>
                              <w:rPr>
                                <w:rFonts w:hint="eastAsia" w:ascii="微软雅黑" w:hAnsi="微软雅黑" w:eastAsia="微软雅黑" w:cs="微软雅黑"/>
                                <w:color w:val="FFFFFF" w:themeColor="background1"/>
                                <w:sz w:val="24"/>
                                <w:szCs w:val="32"/>
                                <w:lang w:val="en-US" w:eastAsia="zh-CN"/>
                                <w14:textFill>
                                  <w14:solidFill>
                                    <w14:schemeClr w14:val="bg1"/>
                                  </w14:solidFill>
                                </w14:textFill>
                              </w:rPr>
                              <w:t>2</w:t>
                            </w:r>
                            <w:r>
                              <w:rPr>
                                <w:rFonts w:hint="eastAsia" w:ascii="微软雅黑" w:hAnsi="微软雅黑" w:eastAsia="微软雅黑" w:cs="微软雅黑"/>
                                <w:color w:val="FFFFFF" w:themeColor="background1"/>
                                <w:sz w:val="24"/>
                                <w:szCs w:val="32"/>
                                <w14:textFill>
                                  <w14:solidFill>
                                    <w14:schemeClr w14:val="bg1"/>
                                  </w14:solidFill>
                                </w14:textFill>
                              </w:rPr>
                              <w:t>天）</w:t>
                            </w:r>
                          </w:p>
                          <w:p>
                            <w:pPr>
                              <w:spacing w:line="440" w:lineRule="exact"/>
                              <w:jc w:val="left"/>
                              <w:rPr>
                                <w:rFonts w:hint="eastAsia" w:ascii="微软雅黑" w:hAnsi="微软雅黑" w:eastAsia="微软雅黑" w:cs="微软雅黑"/>
                                <w:color w:val="FFFFFF" w:themeColor="background1"/>
                                <w:sz w:val="24"/>
                                <w:szCs w:val="32"/>
                                <w:lang w:val="en-US" w:eastAsia="zh-CN"/>
                                <w14:textFill>
                                  <w14:solidFill>
                                    <w14:schemeClr w14:val="bg1"/>
                                  </w14:solidFill>
                                </w14:textFill>
                              </w:rPr>
                            </w:pPr>
                            <w:r>
                              <w:rPr>
                                <w:rFonts w:hint="eastAsia" w:ascii="微软雅黑" w:hAnsi="微软雅黑" w:eastAsia="微软雅黑" w:cs="微软雅黑"/>
                                <w:color w:val="FFFFFF" w:themeColor="background1"/>
                                <w:sz w:val="24"/>
                                <w:szCs w:val="32"/>
                                <w:lang w:eastAsia="zh-CN"/>
                                <w14:textFill>
                                  <w14:solidFill>
                                    <w14:schemeClr w14:val="bg1"/>
                                  </w14:solidFill>
                                </w14:textFill>
                              </w:rPr>
                              <w:t>学习费用：</w:t>
                            </w:r>
                            <w:r>
                              <w:rPr>
                                <w:rFonts w:hint="eastAsia" w:ascii="微软雅黑" w:hAnsi="微软雅黑" w:eastAsia="微软雅黑" w:cs="微软雅黑"/>
                                <w:color w:val="FFFFFF" w:themeColor="background1"/>
                                <w:sz w:val="24"/>
                                <w:szCs w:val="32"/>
                                <w:lang w:val="en-US" w:eastAsia="zh-CN"/>
                                <w14:textFill>
                                  <w14:solidFill>
                                    <w14:schemeClr w14:val="bg1"/>
                                  </w14:solidFill>
                                </w14:textFill>
                              </w:rPr>
                              <w:t>7800/人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5pt;margin-top:10.55pt;height:119.9pt;width:452.35pt;z-index:251720704;mso-width-relative:page;mso-height-relative:page;" filled="f" stroked="f" coordsize="21600,21600" o:gfxdata="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m&#10;QHaF2gAAAAkBAAAPAAAAAAAAAAEAIAAAACIAAABkcnMvZG93bnJldi54bWxQSwECFAAUAAAACACH&#10;TuJAvlx37iICAAAZBAAADgAAAAAAAAABACAAAAApAQAAZHJzL2Uyb0RvYy54bWxQSwUGAAAAAAYA&#10;BgBZAQAAvQUAAAAA&#10;">
                <v:fill on="f" focussize="0,0"/>
                <v:stroke on="f" weight="0.5pt"/>
                <v:imagedata o:title=""/>
                <o:lock v:ext="edit" aspectratio="f"/>
                <v:textbox>
                  <w:txbxContent>
                    <w:p>
                      <w:pPr>
                        <w:spacing w:line="440" w:lineRule="exact"/>
                        <w:jc w:val="left"/>
                        <w:rPr>
                          <w:rFonts w:hint="eastAsia" w:ascii="微软雅黑" w:hAnsi="微软雅黑" w:eastAsia="微软雅黑" w:cs="微软雅黑"/>
                          <w:color w:val="FFFFFF" w:themeColor="background1"/>
                          <w:sz w:val="24"/>
                          <w:szCs w:val="32"/>
                          <w14:textFill>
                            <w14:solidFill>
                              <w14:schemeClr w14:val="bg1"/>
                            </w14:solidFill>
                          </w14:textFill>
                        </w:rPr>
                      </w:pPr>
                      <w:r>
                        <w:rPr>
                          <w:rFonts w:hint="eastAsia" w:ascii="微软雅黑" w:hAnsi="微软雅黑" w:eastAsia="微软雅黑" w:cs="微软雅黑"/>
                          <w:color w:val="FFFFFF" w:themeColor="background1"/>
                          <w:sz w:val="24"/>
                          <w:szCs w:val="32"/>
                          <w14:textFill>
                            <w14:solidFill>
                              <w14:schemeClr w14:val="bg1"/>
                            </w14:solidFill>
                          </w14:textFill>
                        </w:rPr>
                        <w:t>学习对象：董事长、业务一把手、公司财务负责人、共享中心负责人</w:t>
                      </w:r>
                    </w:p>
                    <w:p>
                      <w:pPr>
                        <w:spacing w:line="440" w:lineRule="exact"/>
                        <w:jc w:val="left"/>
                        <w:rPr>
                          <w:rFonts w:ascii="微软雅黑" w:hAnsi="微软雅黑" w:eastAsia="微软雅黑" w:cs="微软雅黑"/>
                          <w:color w:val="FFFFFF" w:themeColor="background1"/>
                          <w:sz w:val="24"/>
                          <w:szCs w:val="24"/>
                          <w14:textFill>
                            <w14:solidFill>
                              <w14:schemeClr w14:val="bg1"/>
                            </w14:solidFill>
                          </w14:textFill>
                        </w:rPr>
                      </w:pPr>
                      <w:r>
                        <w:rPr>
                          <w:rFonts w:hint="eastAsia" w:ascii="微软雅黑" w:hAnsi="微软雅黑" w:eastAsia="微软雅黑" w:cs="微软雅黑"/>
                          <w:color w:val="FFFFFF" w:themeColor="background1"/>
                          <w:sz w:val="24"/>
                          <w:szCs w:val="32"/>
                          <w14:textFill>
                            <w14:solidFill>
                              <w14:schemeClr w14:val="bg1"/>
                            </w14:solidFill>
                          </w14:textFill>
                        </w:rPr>
                        <w:t>授课讲师：</w:t>
                      </w:r>
                      <w:r>
                        <w:rPr>
                          <w:rFonts w:hint="eastAsia" w:ascii="微软雅黑" w:hAnsi="微软雅黑" w:eastAsia="微软雅黑" w:cs="微软雅黑"/>
                          <w:b/>
                          <w:bCs/>
                          <w:color w:val="FFFFFF" w:themeColor="background1"/>
                          <w:sz w:val="24"/>
                          <w:szCs w:val="24"/>
                          <w14:textFill>
                            <w14:solidFill>
                              <w14:schemeClr w14:val="bg1"/>
                            </w14:solidFill>
                          </w14:textFill>
                        </w:rPr>
                        <w:t>张</w:t>
                      </w:r>
                      <w:r>
                        <w:rPr>
                          <w:rFonts w:hint="eastAsia" w:ascii="微软雅黑" w:hAnsi="微软雅黑" w:eastAsia="微软雅黑" w:cs="微软雅黑"/>
                          <w:b/>
                          <w:bCs/>
                          <w:color w:val="FFFFFF" w:themeColor="background1"/>
                          <w:sz w:val="24"/>
                          <w:szCs w:val="24"/>
                          <w:lang w:eastAsia="zh-CN"/>
                          <w14:textFill>
                            <w14:solidFill>
                              <w14:schemeClr w14:val="bg1"/>
                            </w14:solidFill>
                          </w14:textFill>
                        </w:rPr>
                        <w:t>老师</w:t>
                      </w:r>
                      <w:r>
                        <w:rPr>
                          <w:rFonts w:hint="eastAsia" w:ascii="微软雅黑" w:hAnsi="微软雅黑" w:eastAsia="微软雅黑" w:cs="微软雅黑"/>
                          <w:color w:val="FFFFFF" w:themeColor="background1"/>
                          <w:sz w:val="24"/>
                          <w:szCs w:val="24"/>
                          <w14:textFill>
                            <w14:solidFill>
                              <w14:schemeClr w14:val="bg1"/>
                            </w14:solidFill>
                          </w14:textFill>
                        </w:rPr>
                        <w:t xml:space="preserve"> 原华为海外地区部客户及项目财务总监、10年华为工作经验</w:t>
                      </w:r>
                    </w:p>
                    <w:p>
                      <w:pPr>
                        <w:spacing w:line="440" w:lineRule="exact"/>
                        <w:jc w:val="left"/>
                        <w:rPr>
                          <w:rFonts w:ascii="微软雅黑" w:hAnsi="微软雅黑" w:eastAsia="微软雅黑" w:cs="微软雅黑"/>
                          <w:color w:val="FFFFFF" w:themeColor="background1"/>
                          <w:sz w:val="24"/>
                          <w:szCs w:val="32"/>
                          <w14:textFill>
                            <w14:solidFill>
                              <w14:schemeClr w14:val="bg1"/>
                            </w14:solidFill>
                          </w14:textFill>
                        </w:rPr>
                      </w:pPr>
                      <w:r>
                        <w:rPr>
                          <w:rFonts w:hint="eastAsia" w:ascii="微软雅黑" w:hAnsi="微软雅黑" w:eastAsia="微软雅黑" w:cs="微软雅黑"/>
                          <w:color w:val="FFFFFF" w:themeColor="background1"/>
                          <w:sz w:val="24"/>
                          <w:szCs w:val="32"/>
                          <w14:textFill>
                            <w14:solidFill>
                              <w14:schemeClr w14:val="bg1"/>
                            </w14:solidFill>
                          </w14:textFill>
                        </w:rPr>
                        <w:t>标准课时：</w:t>
                      </w:r>
                      <w:r>
                        <w:rPr>
                          <w:rFonts w:hint="eastAsia" w:ascii="微软雅黑" w:hAnsi="微软雅黑" w:eastAsia="微软雅黑" w:cs="微软雅黑"/>
                          <w:color w:val="FFFFFF" w:themeColor="background1"/>
                          <w:sz w:val="24"/>
                          <w:szCs w:val="32"/>
                          <w:lang w:val="en-US" w:eastAsia="zh-CN"/>
                          <w14:textFill>
                            <w14:solidFill>
                              <w14:schemeClr w14:val="bg1"/>
                            </w14:solidFill>
                          </w14:textFill>
                        </w:rPr>
                        <w:t>12</w:t>
                      </w:r>
                      <w:r>
                        <w:rPr>
                          <w:rFonts w:hint="eastAsia" w:ascii="微软雅黑" w:hAnsi="微软雅黑" w:eastAsia="微软雅黑" w:cs="微软雅黑"/>
                          <w:color w:val="FFFFFF" w:themeColor="background1"/>
                          <w:sz w:val="24"/>
                          <w:szCs w:val="32"/>
                          <w14:textFill>
                            <w14:solidFill>
                              <w14:schemeClr w14:val="bg1"/>
                            </w14:solidFill>
                          </w14:textFill>
                        </w:rPr>
                        <w:t>课时（</w:t>
                      </w:r>
                      <w:r>
                        <w:rPr>
                          <w:rFonts w:hint="eastAsia" w:ascii="微软雅黑" w:hAnsi="微软雅黑" w:eastAsia="微软雅黑" w:cs="微软雅黑"/>
                          <w:color w:val="FFFFFF" w:themeColor="background1"/>
                          <w:sz w:val="24"/>
                          <w:szCs w:val="32"/>
                          <w:lang w:val="en-US" w:eastAsia="zh-CN"/>
                          <w14:textFill>
                            <w14:solidFill>
                              <w14:schemeClr w14:val="bg1"/>
                            </w14:solidFill>
                          </w14:textFill>
                        </w:rPr>
                        <w:t>2</w:t>
                      </w:r>
                      <w:r>
                        <w:rPr>
                          <w:rFonts w:hint="eastAsia" w:ascii="微软雅黑" w:hAnsi="微软雅黑" w:eastAsia="微软雅黑" w:cs="微软雅黑"/>
                          <w:color w:val="FFFFFF" w:themeColor="background1"/>
                          <w:sz w:val="24"/>
                          <w:szCs w:val="32"/>
                          <w14:textFill>
                            <w14:solidFill>
                              <w14:schemeClr w14:val="bg1"/>
                            </w14:solidFill>
                          </w14:textFill>
                        </w:rPr>
                        <w:t>天）</w:t>
                      </w:r>
                    </w:p>
                    <w:p>
                      <w:pPr>
                        <w:spacing w:line="440" w:lineRule="exact"/>
                        <w:jc w:val="left"/>
                        <w:rPr>
                          <w:rFonts w:hint="eastAsia" w:ascii="微软雅黑" w:hAnsi="微软雅黑" w:eastAsia="微软雅黑" w:cs="微软雅黑"/>
                          <w:color w:val="FFFFFF" w:themeColor="background1"/>
                          <w:sz w:val="24"/>
                          <w:szCs w:val="32"/>
                          <w:lang w:val="en-US" w:eastAsia="zh-CN"/>
                          <w14:textFill>
                            <w14:solidFill>
                              <w14:schemeClr w14:val="bg1"/>
                            </w14:solidFill>
                          </w14:textFill>
                        </w:rPr>
                      </w:pPr>
                      <w:r>
                        <w:rPr>
                          <w:rFonts w:hint="eastAsia" w:ascii="微软雅黑" w:hAnsi="微软雅黑" w:eastAsia="微软雅黑" w:cs="微软雅黑"/>
                          <w:color w:val="FFFFFF" w:themeColor="background1"/>
                          <w:sz w:val="24"/>
                          <w:szCs w:val="32"/>
                          <w:lang w:eastAsia="zh-CN"/>
                          <w14:textFill>
                            <w14:solidFill>
                              <w14:schemeClr w14:val="bg1"/>
                            </w14:solidFill>
                          </w14:textFill>
                        </w:rPr>
                        <w:t>学习费用：</w:t>
                      </w:r>
                      <w:r>
                        <w:rPr>
                          <w:rFonts w:hint="eastAsia" w:ascii="微软雅黑" w:hAnsi="微软雅黑" w:eastAsia="微软雅黑" w:cs="微软雅黑"/>
                          <w:color w:val="FFFFFF" w:themeColor="background1"/>
                          <w:sz w:val="24"/>
                          <w:szCs w:val="32"/>
                          <w:lang w:val="en-US" w:eastAsia="zh-CN"/>
                          <w14:textFill>
                            <w14:solidFill>
                              <w14:schemeClr w14:val="bg1"/>
                            </w14:solidFill>
                          </w14:textFill>
                        </w:rPr>
                        <w:t>7800/人</w:t>
                      </w:r>
                    </w:p>
                  </w:txbxContent>
                </v:textbox>
              </v:shape>
            </w:pict>
          </mc:Fallback>
        </mc:AlternateContent>
      </w:r>
    </w:p>
    <w:p/>
    <w:p/>
    <w:p/>
    <w:p/>
    <w:p/>
    <w:p/>
    <w:p/>
    <w:p/>
    <w:p/>
    <w:p/>
    <w:p/>
    <w:p/>
    <w:p/>
    <w:p/>
    <w:p/>
    <w:p/>
    <w:p/>
    <w:p/>
    <w:p/>
    <w:p/>
    <w:p/>
    <w:p/>
    <w:p/>
    <w:p/>
    <w:p/>
    <w:p>
      <w:pPr>
        <w:spacing w:line="440" w:lineRule="exact"/>
        <w:jc w:val="left"/>
        <w:rPr>
          <w:rFonts w:ascii="微软雅黑" w:hAnsi="微软雅黑" w:eastAsia="微软雅黑" w:cs="微软雅黑"/>
          <w:b/>
          <w:color w:val="0070C0"/>
          <w:sz w:val="24"/>
          <w:szCs w:val="24"/>
        </w:rPr>
      </w:pPr>
    </w:p>
    <w:p>
      <w:pPr>
        <w:spacing w:line="320" w:lineRule="exact"/>
        <w:rPr>
          <w:rFonts w:hint="eastAsia" w:ascii="微软雅黑" w:hAnsi="微软雅黑" w:eastAsia="微软雅黑" w:cs="微软雅黑"/>
          <w:b/>
          <w:bCs/>
          <w:color w:val="C00000"/>
          <w:sz w:val="28"/>
          <w:szCs w:val="28"/>
          <w:lang w:eastAsia="zh-CN"/>
        </w:rPr>
      </w:pPr>
      <w:r>
        <w:rPr>
          <w:rFonts w:hint="eastAsia" w:ascii="微软雅黑" w:hAnsi="微软雅黑" w:eastAsia="微软雅黑" w:cs="微软雅黑"/>
          <w:b/>
          <w:bCs/>
          <w:color w:val="C00000"/>
          <w:sz w:val="28"/>
          <w:szCs w:val="28"/>
        </w:rPr>
        <w:t xml:space="preserve">| </w:t>
      </w:r>
      <w:r>
        <w:rPr>
          <w:rFonts w:hint="eastAsia" w:ascii="微软雅黑" w:hAnsi="微软雅黑" w:eastAsia="微软雅黑" w:cs="微软雅黑"/>
          <w:b/>
          <w:bCs/>
          <w:color w:val="C00000"/>
          <w:sz w:val="28"/>
          <w:szCs w:val="28"/>
          <w:lang w:eastAsia="zh-CN"/>
        </w:rPr>
        <w:t>课程背景</w:t>
      </w:r>
    </w:p>
    <w:p>
      <w:pPr>
        <w:pStyle w:val="14"/>
        <w:numPr>
          <w:ilvl w:val="0"/>
          <w:numId w:val="0"/>
        </w:numPr>
        <w:spacing w:line="320" w:lineRule="exact"/>
        <w:ind w:left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2017年华为全年销售收入预计约6000亿人民币, 这6000亿，其中一半来自海外！随着国内市场竞争的加剧和饱和，开拓海外市场越来越成为每个有远大目标的中国企业的必经之路。在华为高速成长的列车上，财经默默的为其高效准确运作发挥了不可替代的作用。从分析海外市场机会点，到胶着的合同谈判现场，到开票回款的每个环节，你都可以看见华为财经人的奋斗与奉献。</w:t>
      </w:r>
    </w:p>
    <w:p>
      <w:pPr>
        <w:pStyle w:val="14"/>
        <w:numPr>
          <w:ilvl w:val="0"/>
          <w:numId w:val="0"/>
        </w:numPr>
        <w:spacing w:line="320" w:lineRule="exact"/>
        <w:ind w:left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pStyle w:val="14"/>
        <w:numPr>
          <w:ilvl w:val="0"/>
          <w:numId w:val="0"/>
        </w:numPr>
        <w:spacing w:line="320" w:lineRule="exact"/>
        <w:ind w:left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海外市场是机会与风险并存的市场，外汇波动，税务及海关稽查，成本失控，员工罢工等，这些现实存在的风险使得部分中国企业在走向国际化大门口徘徊。企业在开拓海外市场时经常遇到的问题：</w:t>
      </w:r>
    </w:p>
    <w:p>
      <w:pPr>
        <w:pStyle w:val="14"/>
        <w:numPr>
          <w:ilvl w:val="0"/>
          <w:numId w:val="0"/>
        </w:numPr>
        <w:spacing w:line="320" w:lineRule="exact"/>
        <w:ind w:left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1.   海外合同投标，哪个公司投标合适？需要当地成立子公司吗？</w:t>
      </w:r>
    </w:p>
    <w:p>
      <w:pPr>
        <w:pStyle w:val="14"/>
        <w:numPr>
          <w:ilvl w:val="0"/>
          <w:numId w:val="0"/>
        </w:numPr>
        <w:spacing w:line="320" w:lineRule="exact"/>
        <w:ind w:left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2.   海外成立一个子公司需要考虑哪些因素？如何获得审批？</w:t>
      </w:r>
    </w:p>
    <w:p>
      <w:pPr>
        <w:pStyle w:val="14"/>
        <w:numPr>
          <w:ilvl w:val="0"/>
          <w:numId w:val="0"/>
        </w:numPr>
        <w:spacing w:line="320" w:lineRule="exact"/>
        <w:ind w:left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3.   作为财务BP，参与合同谈判，需要考虑哪些要素？</w:t>
      </w:r>
    </w:p>
    <w:p>
      <w:pPr>
        <w:pStyle w:val="14"/>
        <w:numPr>
          <w:ilvl w:val="0"/>
          <w:numId w:val="0"/>
        </w:numPr>
        <w:spacing w:line="320" w:lineRule="exact"/>
        <w:ind w:left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 xml:space="preserve">4.   如何确定签约模式？签约币种如何选择? </w:t>
      </w:r>
    </w:p>
    <w:p>
      <w:pPr>
        <w:pStyle w:val="14"/>
        <w:numPr>
          <w:ilvl w:val="0"/>
          <w:numId w:val="0"/>
        </w:numPr>
        <w:spacing w:line="320" w:lineRule="exact"/>
        <w:ind w:left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5.   如何规避外汇风险？合同资金成本如何测算？</w:t>
      </w:r>
    </w:p>
    <w:p>
      <w:pPr>
        <w:pStyle w:val="14"/>
        <w:numPr>
          <w:ilvl w:val="0"/>
          <w:numId w:val="0"/>
        </w:numPr>
        <w:spacing w:line="320" w:lineRule="exact"/>
        <w:ind w:left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6.   海外合同签约决策流程应如何建立？</w:t>
      </w:r>
    </w:p>
    <w:p>
      <w:pPr>
        <w:pStyle w:val="14"/>
        <w:numPr>
          <w:ilvl w:val="0"/>
          <w:numId w:val="0"/>
        </w:numPr>
        <w:spacing w:line="320" w:lineRule="exact"/>
        <w:ind w:left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7.   如何应对招标过程的特殊财务需求，如本地化？</w:t>
      </w:r>
    </w:p>
    <w:p>
      <w:pPr>
        <w:pStyle w:val="14"/>
        <w:numPr>
          <w:ilvl w:val="0"/>
          <w:numId w:val="0"/>
        </w:numPr>
        <w:spacing w:line="320" w:lineRule="exact"/>
        <w:ind w:left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8.   如何管理海外财务人员？</w:t>
      </w:r>
    </w:p>
    <w:p>
      <w:pPr>
        <w:pStyle w:val="14"/>
        <w:numPr>
          <w:ilvl w:val="0"/>
          <w:numId w:val="0"/>
        </w:numPr>
        <w:spacing w:line="320" w:lineRule="exact"/>
        <w:ind w:left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pStyle w:val="14"/>
        <w:numPr>
          <w:ilvl w:val="0"/>
          <w:numId w:val="0"/>
        </w:numPr>
        <w:spacing w:line="320" w:lineRule="exact"/>
        <w:ind w:left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带着这些问题，本次课程邀请拥有12年跨国工作经验的华为前财经高管，为学员揭秘企业在开拓海外市场时面临的挑战，还原华为从海外业务模式选择到合同谈判的经典案例，通过现场小组讨论，实操演练，将华为最具代表性的案例进行呈现和讲解，让所有学员充分参与其中，达到“知行合一”的学习目的。</w:t>
      </w:r>
    </w:p>
    <w:p>
      <w:pPr>
        <w:pStyle w:val="14"/>
        <w:numPr>
          <w:ilvl w:val="0"/>
          <w:numId w:val="0"/>
        </w:numPr>
        <w:spacing w:line="320" w:lineRule="exact"/>
        <w:ind w:left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pStyle w:val="14"/>
        <w:numPr>
          <w:ilvl w:val="0"/>
          <w:numId w:val="0"/>
        </w:numPr>
        <w:spacing w:line="320" w:lineRule="exact"/>
        <w:ind w:left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drawing>
          <wp:anchor distT="0" distB="0" distL="114300" distR="114300" simplePos="0" relativeHeight="311819264" behindDoc="0" locked="0" layoutInCell="1" allowOverlap="1">
            <wp:simplePos x="0" y="0"/>
            <wp:positionH relativeFrom="column">
              <wp:posOffset>-107950</wp:posOffset>
            </wp:positionH>
            <wp:positionV relativeFrom="paragraph">
              <wp:posOffset>71755</wp:posOffset>
            </wp:positionV>
            <wp:extent cx="5727065" cy="3160395"/>
            <wp:effectExtent l="0" t="0" r="6985" b="190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727065" cy="3160395"/>
                    </a:xfrm>
                    <a:prstGeom prst="rect">
                      <a:avLst/>
                    </a:prstGeom>
                    <a:noFill/>
                    <a:ln w="9525">
                      <a:noFill/>
                    </a:ln>
                  </pic:spPr>
                </pic:pic>
              </a:graphicData>
            </a:graphic>
          </wp:anchor>
        </w:drawing>
      </w:r>
    </w:p>
    <w:p>
      <w:pPr>
        <w:pStyle w:val="14"/>
        <w:numPr>
          <w:ilvl w:val="0"/>
          <w:numId w:val="0"/>
        </w:numPr>
        <w:spacing w:line="320" w:lineRule="exact"/>
        <w:ind w:left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pStyle w:val="14"/>
        <w:numPr>
          <w:ilvl w:val="0"/>
          <w:numId w:val="0"/>
        </w:numPr>
        <w:spacing w:line="320" w:lineRule="exact"/>
        <w:ind w:left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pStyle w:val="14"/>
        <w:spacing w:line="320" w:lineRule="exact"/>
        <w:ind w:firstLine="0" w:firstLineChars="0"/>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pStyle w:val="14"/>
        <w:spacing w:line="320" w:lineRule="exact"/>
        <w:ind w:firstLine="0" w:firstLineChars="0"/>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pStyle w:val="14"/>
        <w:spacing w:line="320" w:lineRule="exact"/>
        <w:ind w:firstLine="0" w:firstLineChars="0"/>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pStyle w:val="14"/>
        <w:spacing w:line="320" w:lineRule="exact"/>
        <w:ind w:firstLine="0" w:firstLineChars="0"/>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pStyle w:val="14"/>
        <w:spacing w:line="320" w:lineRule="exact"/>
        <w:ind w:firstLine="0" w:firstLineChars="0"/>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pStyle w:val="14"/>
        <w:spacing w:line="320" w:lineRule="exact"/>
        <w:ind w:firstLine="0" w:firstLineChars="0"/>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pStyle w:val="14"/>
        <w:spacing w:line="320" w:lineRule="exact"/>
        <w:ind w:firstLine="0" w:firstLineChars="0"/>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pStyle w:val="14"/>
        <w:spacing w:line="320" w:lineRule="exact"/>
        <w:ind w:firstLine="0" w:firstLineChars="0"/>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pStyle w:val="14"/>
        <w:spacing w:line="320" w:lineRule="exact"/>
        <w:ind w:firstLine="0" w:firstLineChars="0"/>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pStyle w:val="14"/>
        <w:spacing w:line="320" w:lineRule="exact"/>
        <w:ind w:firstLine="0" w:firstLineChars="0"/>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pStyle w:val="14"/>
        <w:spacing w:line="320" w:lineRule="exact"/>
        <w:ind w:firstLine="0" w:firstLineChars="0"/>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pStyle w:val="14"/>
        <w:spacing w:line="320" w:lineRule="exact"/>
        <w:ind w:firstLine="0" w:firstLineChars="0"/>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pStyle w:val="14"/>
        <w:spacing w:line="320" w:lineRule="exact"/>
        <w:ind w:firstLine="0" w:firstLineChars="0"/>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pStyle w:val="14"/>
        <w:spacing w:line="320" w:lineRule="exact"/>
        <w:ind w:firstLine="0" w:firstLineChars="0"/>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pStyle w:val="14"/>
        <w:spacing w:line="320" w:lineRule="exact"/>
        <w:ind w:firstLine="0" w:firstLineChars="0"/>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pStyle w:val="14"/>
        <w:spacing w:line="320" w:lineRule="exact"/>
        <w:ind w:firstLine="0" w:firstLineChars="0"/>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pStyle w:val="14"/>
        <w:spacing w:line="340" w:lineRule="exact"/>
        <w:ind w:firstLine="0" w:firstLineChars="0"/>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spacing w:line="340" w:lineRule="exact"/>
        <w:rPr>
          <w:rFonts w:ascii="微软雅黑" w:hAnsi="微软雅黑" w:eastAsia="微软雅黑" w:cs="微软雅黑"/>
          <w:b/>
          <w:bCs/>
          <w:color w:val="C00000"/>
          <w:sz w:val="28"/>
          <w:szCs w:val="28"/>
        </w:rPr>
      </w:pPr>
      <w:r>
        <w:rPr>
          <w:rFonts w:hint="eastAsia" w:ascii="微软雅黑" w:hAnsi="微软雅黑" w:eastAsia="微软雅黑" w:cs="微软雅黑"/>
          <w:b/>
          <w:bCs/>
          <w:color w:val="C00000"/>
          <w:sz w:val="28"/>
          <w:szCs w:val="28"/>
        </w:rPr>
        <w:t>| 学习收益</w:t>
      </w:r>
    </w:p>
    <w:p>
      <w:pPr>
        <w:pStyle w:val="14"/>
        <w:numPr>
          <w:ilvl w:val="0"/>
          <w:numId w:val="1"/>
        </w:numPr>
        <w:spacing w:line="340" w:lineRule="exact"/>
        <w:ind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知：学习华为在开拓海外市场时如何应对外汇波动，税务及海关稽查，移民政策等对海外市场选择的影响</w:t>
      </w:r>
    </w:p>
    <w:p>
      <w:pPr>
        <w:pStyle w:val="14"/>
        <w:numPr>
          <w:ilvl w:val="0"/>
          <w:numId w:val="1"/>
        </w:numPr>
        <w:spacing w:line="340" w:lineRule="exact"/>
        <w:ind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行：学习华为海外业务布局与财务管理规划，从执行层面了解华为海外子公司设置以及合同谈判中财经的支持</w:t>
      </w:r>
    </w:p>
    <w:p>
      <w:pPr>
        <w:pStyle w:val="14"/>
        <w:numPr>
          <w:ilvl w:val="0"/>
          <w:numId w:val="1"/>
        </w:numPr>
        <w:spacing w:line="340" w:lineRule="exact"/>
        <w:ind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合：学习和应用华为海外业务模式选择战略，海外合同谈判管理策略以及财务BP思维，结合企业本身所处的国际化发展阶段和管理特点，持续改进和优化企业国际化战略</w:t>
      </w:r>
    </w:p>
    <w:p>
      <w:pPr>
        <w:pStyle w:val="14"/>
        <w:numPr>
          <w:ilvl w:val="0"/>
          <w:numId w:val="1"/>
        </w:numPr>
        <w:spacing w:line="340" w:lineRule="exact"/>
        <w:ind w:firstLineChars="0"/>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一：借鉴华为在海外市场的扩张之路，助阵企业走向国际化</w:t>
      </w:r>
    </w:p>
    <w:p>
      <w:pPr>
        <w:pStyle w:val="14"/>
        <w:numPr>
          <w:ilvl w:val="0"/>
          <w:numId w:val="0"/>
        </w:numPr>
        <w:spacing w:line="340" w:lineRule="exact"/>
        <w:ind w:leftChars="0"/>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spacing w:line="340" w:lineRule="exact"/>
        <w:rPr>
          <w:rFonts w:ascii="微软雅黑" w:hAnsi="微软雅黑" w:eastAsia="微软雅黑" w:cs="微软雅黑"/>
          <w:b/>
          <w:bCs/>
          <w:color w:val="C00000"/>
          <w:sz w:val="30"/>
          <w:szCs w:val="30"/>
        </w:rPr>
      </w:pPr>
    </w:p>
    <w:p>
      <w:pPr>
        <w:spacing w:line="340" w:lineRule="exact"/>
        <w:rPr>
          <w:rFonts w:ascii="微软雅黑" w:hAnsi="微软雅黑" w:eastAsia="微软雅黑" w:cs="微软雅黑"/>
          <w:b/>
          <w:bCs/>
          <w:color w:val="C00000"/>
          <w:sz w:val="28"/>
          <w:szCs w:val="28"/>
        </w:rPr>
      </w:pPr>
      <w:r>
        <w:rPr>
          <w:rFonts w:hint="eastAsia" w:ascii="微软雅黑" w:hAnsi="微软雅黑" w:eastAsia="微软雅黑" w:cs="微软雅黑"/>
          <w:b/>
          <w:bCs/>
          <w:color w:val="C00000"/>
          <w:sz w:val="28"/>
          <w:szCs w:val="28"/>
        </w:rPr>
        <w:t>| 课程大纲</w:t>
      </w:r>
    </w:p>
    <w:p>
      <w:pPr>
        <w:numPr>
          <w:ilvl w:val="0"/>
          <w:numId w:val="0"/>
        </w:numPr>
        <w:spacing w:line="340" w:lineRule="exact"/>
        <w:rPr>
          <w:rFonts w:hint="eastAsia"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第一部分：战略借鉴：华为海外业务布局与财务管理规划</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华为的全球化之路对中国企业走向海外的借鉴</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华为财务组织架构及BP文化</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华为财经变革历史</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华为财务数据如何支撑产品、区域及项目考核？</w:t>
      </w:r>
    </w:p>
    <w:p>
      <w:pPr>
        <w:numPr>
          <w:ilvl w:val="0"/>
          <w:numId w:val="0"/>
        </w:numPr>
        <w:spacing w:line="340" w:lineRule="exact"/>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numPr>
          <w:ilvl w:val="0"/>
          <w:numId w:val="0"/>
        </w:numPr>
        <w:spacing w:line="340" w:lineRule="exact"/>
        <w:rPr>
          <w:rFonts w:hint="eastAsia" w:ascii="微软雅黑" w:hAnsi="微软雅黑" w:eastAsia="微软雅黑" w:cs="微软雅黑"/>
          <w:b/>
          <w:bCs/>
          <w:color w:val="0070C0"/>
          <w:sz w:val="20"/>
          <w:szCs w:val="20"/>
        </w:rPr>
      </w:pPr>
    </w:p>
    <w:p>
      <w:pPr>
        <w:numPr>
          <w:ilvl w:val="0"/>
          <w:numId w:val="0"/>
        </w:numPr>
        <w:spacing w:line="340" w:lineRule="exact"/>
        <w:rPr>
          <w:rFonts w:hint="eastAsia"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第二部分：海外国别/客户风险规避及案例分析</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从案例看全球化下的风险（ZTE伊朗，福耀玻璃美国工厂，印度VDF）</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海外国家风险防范，外汇、移民政策等对市场选择的影响；</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海外客户风险防范及客户信用等级分类</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案例1】在3G牌照发放的前夜，马来西亚M运营商收购印度尼西亚N运营商51%股权，并邀请华为参与通讯网络建设。出于对风险的考量，华为委派PWC进行了财务尽调。根据尽调报告，你需要决策华为是否需要参与这个项目？</w:t>
      </w:r>
    </w:p>
    <w:p>
      <w:pPr>
        <w:numPr>
          <w:ilvl w:val="0"/>
          <w:numId w:val="0"/>
        </w:numPr>
        <w:spacing w:line="340" w:lineRule="exact"/>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numPr>
          <w:ilvl w:val="0"/>
          <w:numId w:val="0"/>
        </w:numPr>
        <w:spacing w:line="340" w:lineRule="exact"/>
        <w:rPr>
          <w:rFonts w:hint="eastAsia"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第三部分：海外项目签约模式选择与海外子公司设置</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海外招投标流程解读</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招投标项目责任矩阵（RM）文档解读</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根据责任矩阵确定签约模式</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签约模式关键决定因素（财务类）：PE风险及外汇管制</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如何规避PE风险 – 海外子公司的成立</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海外子公司定位和签约模式的关系</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【分享】适合中小企业的海外子公司定位和签约模式</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从一起税务案例聊起：全球化下的海外子公司设计</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成立海外子公司控股架构的税务考量</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海外子公司的实质运作</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成立海外子公司的各项审批</w:t>
      </w:r>
    </w:p>
    <w:p>
      <w:pPr>
        <w:numPr>
          <w:ilvl w:val="0"/>
          <w:numId w:val="0"/>
        </w:numPr>
        <w:spacing w:line="340" w:lineRule="exact"/>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numPr>
          <w:ilvl w:val="0"/>
          <w:numId w:val="0"/>
        </w:numPr>
        <w:spacing w:line="340" w:lineRule="exact"/>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numPr>
          <w:ilvl w:val="0"/>
          <w:numId w:val="0"/>
        </w:numPr>
        <w:spacing w:line="340" w:lineRule="exact"/>
        <w:rPr>
          <w:rFonts w:hint="eastAsia"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第四部分：合同条款谈判，报价与利润概算</w:t>
      </w:r>
    </w:p>
    <w:p>
      <w:pPr>
        <w:numPr>
          <w:ilvl w:val="0"/>
          <w:numId w:val="0"/>
        </w:numPr>
        <w:spacing w:line="340" w:lineRule="exact"/>
        <w:rPr>
          <w:rFonts w:hint="eastAsia" w:ascii="微软雅黑" w:hAnsi="微软雅黑" w:eastAsia="微软雅黑" w:cs="微软雅黑"/>
          <w:b/>
          <w:bCs/>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b/>
          <w:bCs/>
          <w:color w:val="404040" w:themeColor="text1" w:themeTint="BF"/>
          <w:sz w:val="20"/>
          <w:szCs w:val="20"/>
          <w14:textFill>
            <w14:solidFill>
              <w14:schemeClr w14:val="tx1">
                <w14:lumMod w14:val="75000"/>
                <w14:lumOff w14:val="25000"/>
              </w14:schemeClr>
            </w14:solidFill>
          </w14:textFill>
        </w:rPr>
        <w:t>一：合同条款谈判：如何识别并规避80%的交易风险</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合同签约决策流程及授权</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合同中的财经9要素：外汇、保函、税务等</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 xml:space="preserve">作为财务BP：还需要考虑其他要素吗？ </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【案例2】看似完美的回款条款，为何失效？</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运营本位币的选择</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合同签约币种的选择（RMB国际化）</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外汇条款及报价外汇汇率的确定（未来适用）</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税务条款（关税等）</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收款条款</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工期、技术指标承诺</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验收条款（先验收后商用）</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物流仓储条款</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重大客户基线条款的建设</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条款评审决策授权 - A/B类条款</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百密总有一疏，确保变更条款写入合同</w:t>
      </w:r>
    </w:p>
    <w:p>
      <w:pPr>
        <w:numPr>
          <w:ilvl w:val="0"/>
          <w:numId w:val="0"/>
        </w:numPr>
        <w:spacing w:line="340" w:lineRule="exact"/>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numPr>
          <w:ilvl w:val="0"/>
          <w:numId w:val="0"/>
        </w:numPr>
        <w:spacing w:line="340" w:lineRule="exact"/>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numPr>
          <w:ilvl w:val="0"/>
          <w:numId w:val="0"/>
        </w:numPr>
        <w:spacing w:line="340" w:lineRule="exact"/>
        <w:rPr>
          <w:rFonts w:hint="eastAsia" w:ascii="微软雅黑" w:hAnsi="微软雅黑" w:eastAsia="微软雅黑" w:cs="微软雅黑"/>
          <w:b/>
          <w:bCs/>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b/>
          <w:bCs/>
          <w:color w:val="404040" w:themeColor="text1" w:themeTint="BF"/>
          <w:sz w:val="20"/>
          <w:szCs w:val="20"/>
          <w14:textFill>
            <w14:solidFill>
              <w14:schemeClr w14:val="tx1">
                <w14:lumMod w14:val="75000"/>
                <w14:lumOff w14:val="25000"/>
              </w14:schemeClr>
            </w14:solidFill>
          </w14:textFill>
        </w:rPr>
        <w:t>二：合同报价与利润概算：成本、风险一个都不能少</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 xml:space="preserve">报价模式的演变 </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设备成本（未来适用）</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资金成本的测算</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税务成本的测算（税务对服务成本的影响）</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服务成本 （质保）</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风险成本</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【案例3】亏损合同应该被批准吗？</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培养财务BP思维，践行战略财务分析方法，从产品研发到交付端到端考虑设计合同/产品盈利模式，增强客户粘性，确保长期盈利目标实现。</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外部因素对报价的影响（赠送、东南亚和欧洲的区别、总价合同）</w:t>
      </w:r>
    </w:p>
    <w:p>
      <w:pPr>
        <w:numPr>
          <w:ilvl w:val="0"/>
          <w:numId w:val="0"/>
        </w:numPr>
        <w:spacing w:line="340" w:lineRule="exact"/>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numPr>
          <w:ilvl w:val="0"/>
          <w:numId w:val="0"/>
        </w:numPr>
        <w:spacing w:line="340" w:lineRule="exact"/>
        <w:rPr>
          <w:rFonts w:hint="eastAsia" w:ascii="微软雅黑" w:hAnsi="微软雅黑" w:eastAsia="微软雅黑" w:cs="微软雅黑"/>
          <w:b/>
          <w:bCs/>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b/>
          <w:bCs/>
          <w:color w:val="404040" w:themeColor="text1" w:themeTint="BF"/>
          <w:sz w:val="20"/>
          <w:szCs w:val="20"/>
          <w14:textFill>
            <w14:solidFill>
              <w14:schemeClr w14:val="tx1">
                <w14:lumMod w14:val="75000"/>
                <w14:lumOff w14:val="25000"/>
              </w14:schemeClr>
            </w14:solidFill>
          </w14:textFill>
        </w:rPr>
        <w:t>三：合同谈判中的特殊条款</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如何满足合同中的本土化要求？</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【案例4】我们做做“事后诸葛亮”，通过回顾华为在印度市场的10年发展，讨论当时的当地建厂方案是否完美？培养财务分析框架。</w:t>
      </w:r>
    </w:p>
    <w:p>
      <w:pPr>
        <w:numPr>
          <w:ilvl w:val="0"/>
          <w:numId w:val="0"/>
        </w:numPr>
        <w:spacing w:line="340" w:lineRule="exact"/>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numPr>
          <w:ilvl w:val="0"/>
          <w:numId w:val="0"/>
        </w:numPr>
        <w:spacing w:line="340" w:lineRule="exact"/>
        <w:rPr>
          <w:rFonts w:hint="eastAsia"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第五部分：特别分享</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跨文化财务BP团队建设</w:t>
      </w:r>
    </w:p>
    <w:p>
      <w:pPr>
        <w:numPr>
          <w:ilvl w:val="0"/>
          <w:numId w:val="2"/>
        </w:numPr>
        <w:spacing w:line="34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海外财务管理概览</w:t>
      </w:r>
    </w:p>
    <w:p>
      <w:pPr>
        <w:numPr>
          <w:ilvl w:val="0"/>
          <w:numId w:val="0"/>
        </w:numPr>
        <w:spacing w:line="340" w:lineRule="exact"/>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numPr>
          <w:ilvl w:val="0"/>
          <w:numId w:val="0"/>
        </w:numPr>
        <w:spacing w:line="340" w:lineRule="exact"/>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spacing w:line="340" w:lineRule="exact"/>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spacing w:line="440" w:lineRule="exact"/>
        <w:jc w:val="left"/>
        <w:rPr>
          <w:rFonts w:hint="eastAsia" w:ascii="微软雅黑" w:hAnsi="微软雅黑" w:eastAsia="微软雅黑" w:cs="微软雅黑"/>
          <w:b/>
          <w:color w:val="C00000"/>
          <w:sz w:val="24"/>
          <w:szCs w:val="24"/>
        </w:rPr>
      </w:pPr>
      <w:r>
        <w:rPr>
          <w:rFonts w:hint="eastAsia" w:ascii="微软雅黑" w:hAnsi="微软雅黑" w:eastAsia="微软雅黑" w:cs="微软雅黑"/>
          <w:b/>
          <w:color w:val="C00000"/>
          <w:sz w:val="24"/>
          <w:szCs w:val="24"/>
        </w:rPr>
        <w:t>| 讲师介绍：</w:t>
      </w:r>
    </w:p>
    <w:p>
      <w:pPr>
        <w:spacing w:line="440" w:lineRule="exact"/>
        <w:jc w:val="left"/>
        <w:rPr>
          <w:rFonts w:ascii="微软雅黑" w:hAnsi="微软雅黑" w:eastAsia="微软雅黑" w:cs="微软雅黑"/>
          <w:b/>
          <w:color w:val="0070C0"/>
          <w:sz w:val="24"/>
          <w:szCs w:val="24"/>
        </w:rPr>
      </w:pPr>
      <w:r>
        <w:rPr>
          <w:rFonts w:hint="eastAsia" w:ascii="微软雅黑" w:hAnsi="微软雅黑" w:eastAsia="微软雅黑" w:cs="微软雅黑"/>
          <w:color w:val="3F3F3F"/>
          <w:sz w:val="22"/>
          <w:szCs w:val="22"/>
        </w:rPr>
        <mc:AlternateContent>
          <mc:Choice Requires="wps">
            <w:drawing>
              <wp:anchor distT="0" distB="0" distL="114300" distR="114300" simplePos="0" relativeHeight="253104128" behindDoc="0" locked="0" layoutInCell="1" allowOverlap="1">
                <wp:simplePos x="0" y="0"/>
                <wp:positionH relativeFrom="column">
                  <wp:posOffset>1310005</wp:posOffset>
                </wp:positionH>
                <wp:positionV relativeFrom="paragraph">
                  <wp:posOffset>158115</wp:posOffset>
                </wp:positionV>
                <wp:extent cx="4665980" cy="6390005"/>
                <wp:effectExtent l="0" t="0" r="0" b="0"/>
                <wp:wrapNone/>
                <wp:docPr id="20" name="文本框 20"/>
                <wp:cNvGraphicFramePr/>
                <a:graphic xmlns:a="http://schemas.openxmlformats.org/drawingml/2006/main">
                  <a:graphicData uri="http://schemas.microsoft.com/office/word/2010/wordprocessingShape">
                    <wps:wsp>
                      <wps:cNvSpPr txBox="1">
                        <a:spLocks noChangeArrowheads="1"/>
                      </wps:cNvSpPr>
                      <wps:spPr bwMode="auto">
                        <a:xfrm>
                          <a:off x="0" y="0"/>
                          <a:ext cx="4665980" cy="6390005"/>
                        </a:xfrm>
                        <a:prstGeom prst="rect">
                          <a:avLst/>
                        </a:prstGeom>
                        <a:noFill/>
                        <a:ln>
                          <a:noFill/>
                        </a:ln>
                      </wps:spPr>
                      <wps:txbx>
                        <w:txbxContent>
                          <w:p>
                            <w:pPr>
                              <w:spacing w:line="440" w:lineRule="exact"/>
                              <w:jc w:val="left"/>
                              <w:rPr>
                                <w:rFonts w:ascii="微软雅黑" w:hAnsi="微软雅黑" w:eastAsia="微软雅黑" w:cs="微软雅黑"/>
                                <w:b/>
                                <w:bCs/>
                                <w:color w:val="595959"/>
                                <w:sz w:val="24"/>
                                <w:szCs w:val="24"/>
                              </w:rPr>
                            </w:pPr>
                            <w:r>
                              <w:rPr>
                                <w:rFonts w:hint="eastAsia" w:ascii="微软雅黑" w:hAnsi="微软雅黑" w:eastAsia="微软雅黑" w:cs="微软雅黑"/>
                                <w:b/>
                                <w:bCs/>
                                <w:color w:val="595959"/>
                                <w:sz w:val="24"/>
                                <w:szCs w:val="24"/>
                              </w:rPr>
                              <w:t>张</w:t>
                            </w:r>
                            <w:r>
                              <w:rPr>
                                <w:rFonts w:hint="eastAsia" w:ascii="微软雅黑" w:hAnsi="微软雅黑" w:eastAsia="微软雅黑" w:cs="微软雅黑"/>
                                <w:b/>
                                <w:bCs/>
                                <w:color w:val="595959"/>
                                <w:sz w:val="24"/>
                                <w:szCs w:val="24"/>
                                <w:lang w:eastAsia="zh-CN"/>
                              </w:rPr>
                              <w:t>老师</w:t>
                            </w:r>
                          </w:p>
                          <w:p>
                            <w:pPr>
                              <w:spacing w:line="320" w:lineRule="exact"/>
                              <w:rPr>
                                <w:rFonts w:hint="eastAsia" w:ascii="微软雅黑" w:hAnsi="微软雅黑" w:eastAsia="微软雅黑" w:cs="微软雅黑"/>
                                <w:b/>
                                <w:bCs/>
                                <w:color w:val="595959"/>
                                <w:sz w:val="24"/>
                                <w:szCs w:val="24"/>
                              </w:rPr>
                            </w:pPr>
                            <w:r>
                              <w:rPr>
                                <w:rFonts w:hint="eastAsia" w:ascii="微软雅黑" w:hAnsi="微软雅黑" w:eastAsia="微软雅黑" w:cs="微软雅黑"/>
                                <w:b/>
                                <w:bCs/>
                                <w:color w:val="595959"/>
                                <w:sz w:val="24"/>
                                <w:szCs w:val="24"/>
                              </w:rPr>
                              <w:t>原华为海外地区部客户及项目财务总监</w:t>
                            </w:r>
                          </w:p>
                          <w:p>
                            <w:pPr>
                              <w:spacing w:line="320" w:lineRule="exact"/>
                              <w:rPr>
                                <w:rFonts w:hint="eastAsia" w:ascii="微软雅黑" w:hAnsi="微软雅黑" w:eastAsia="微软雅黑" w:cs="微软雅黑"/>
                                <w:b/>
                                <w:bCs/>
                                <w:color w:val="595959"/>
                                <w:sz w:val="24"/>
                                <w:szCs w:val="24"/>
                              </w:rPr>
                            </w:pPr>
                            <w:r>
                              <w:rPr>
                                <w:rFonts w:hint="eastAsia" w:ascii="微软雅黑" w:hAnsi="微软雅黑" w:eastAsia="微软雅黑" w:cs="微软雅黑"/>
                                <w:b/>
                                <w:bCs/>
                                <w:color w:val="595959"/>
                                <w:sz w:val="24"/>
                                <w:szCs w:val="24"/>
                              </w:rPr>
                              <w:t>原华为核心网产品线财务总监</w:t>
                            </w:r>
                          </w:p>
                          <w:p>
                            <w:pPr>
                              <w:spacing w:line="320" w:lineRule="exact"/>
                              <w:rPr>
                                <w:rFonts w:hint="eastAsia" w:ascii="微软雅黑" w:hAnsi="微软雅黑" w:eastAsia="微软雅黑" w:cs="微软雅黑"/>
                                <w:b/>
                                <w:bCs/>
                                <w:color w:val="595959"/>
                                <w:sz w:val="24"/>
                                <w:szCs w:val="24"/>
                              </w:rPr>
                            </w:pPr>
                            <w:r>
                              <w:rPr>
                                <w:rFonts w:hint="eastAsia" w:ascii="微软雅黑" w:hAnsi="微软雅黑" w:eastAsia="微软雅黑" w:cs="微软雅黑"/>
                                <w:b/>
                                <w:bCs/>
                                <w:color w:val="595959"/>
                                <w:sz w:val="24"/>
                                <w:szCs w:val="24"/>
                              </w:rPr>
                              <w:t>10年华为工作经验</w:t>
                            </w:r>
                          </w:p>
                          <w:p>
                            <w:pPr>
                              <w:spacing w:line="320" w:lineRule="exact"/>
                              <w:rPr>
                                <w:rFonts w:hint="eastAsia" w:ascii="微软雅黑" w:hAnsi="微软雅黑" w:eastAsia="微软雅黑" w:cs="微软雅黑"/>
                                <w:b/>
                                <w:bCs/>
                                <w:color w:val="595959"/>
                                <w:sz w:val="24"/>
                                <w:szCs w:val="24"/>
                              </w:rPr>
                            </w:pPr>
                          </w:p>
                          <w:p>
                            <w:pPr>
                              <w:spacing w:line="320" w:lineRule="exact"/>
                              <w:rPr>
                                <w:rFonts w:hint="eastAsia" w:ascii="微软雅黑" w:hAnsi="微软雅黑" w:eastAsia="微软雅黑" w:cs="微软雅黑"/>
                                <w:b/>
                                <w:bCs/>
                                <w:color w:val="595959"/>
                                <w:sz w:val="24"/>
                                <w:szCs w:val="24"/>
                                <w:lang w:eastAsia="zh-CN"/>
                              </w:rPr>
                            </w:pPr>
                            <w:r>
                              <w:rPr>
                                <w:rFonts w:ascii="微软雅黑" w:hAnsi="微软雅黑" w:eastAsia="微软雅黑" w:cs="微软雅黑"/>
                                <w:b/>
                                <w:bCs/>
                                <w:color w:val="0070C0"/>
                                <w:sz w:val="22"/>
                              </w:rPr>
                              <w:t>职业</w:t>
                            </w:r>
                            <w:r>
                              <w:rPr>
                                <w:rFonts w:hint="eastAsia" w:ascii="微软雅黑" w:hAnsi="微软雅黑" w:eastAsia="微软雅黑" w:cs="微软雅黑"/>
                                <w:b/>
                                <w:bCs/>
                                <w:color w:val="0070C0"/>
                                <w:sz w:val="22"/>
                              </w:rPr>
                              <w:t>经历</w:t>
                            </w:r>
                            <w:r>
                              <w:rPr>
                                <w:rFonts w:hint="eastAsia" w:ascii="微软雅黑" w:hAnsi="微软雅黑" w:eastAsia="微软雅黑" w:cs="微软雅黑"/>
                                <w:b/>
                                <w:bCs/>
                                <w:color w:val="0070C0"/>
                                <w:sz w:val="22"/>
                                <w:lang w:eastAsia="zh-CN"/>
                              </w:rPr>
                              <w:t>：</w:t>
                            </w:r>
                          </w:p>
                          <w:p>
                            <w:pPr>
                              <w:spacing w:line="360" w:lineRule="exact"/>
                              <w:rPr>
                                <w:rFonts w:hint="eastAsia" w:ascii="微软雅黑" w:hAnsi="微软雅黑" w:eastAsia="微软雅黑" w:cs="微软雅黑"/>
                                <w:color w:val="595959" w:themeColor="text1" w:themeTint="A6"/>
                                <w:sz w:val="24"/>
                                <w:szCs w:val="24"/>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24"/>
                                <w14:textFill>
                                  <w14:solidFill>
                                    <w14:schemeClr w14:val="tx1">
                                      <w14:lumMod w14:val="65000"/>
                                      <w14:lumOff w14:val="35000"/>
                                    </w14:schemeClr>
                                  </w14:solidFill>
                                </w14:textFill>
                              </w:rPr>
                              <w:t>18年跨行业财务管理经验：先后服务知名房地产、高科技及新能源等企业，经历产品研发、合同销售及交付回款的全流程财务管理。在中长期财务战略规划、预算执行及监控、费用监控、项目财务模型及融资、税务筹划、外汇核算等方面经验丰富。</w:t>
                            </w:r>
                          </w:p>
                          <w:p>
                            <w:pPr>
                              <w:spacing w:line="360" w:lineRule="exact"/>
                              <w:rPr>
                                <w:rFonts w:hint="eastAsia" w:ascii="微软雅黑" w:hAnsi="微软雅黑" w:eastAsia="微软雅黑" w:cs="微软雅黑"/>
                                <w:color w:val="595959" w:themeColor="text1" w:themeTint="A6"/>
                                <w:sz w:val="24"/>
                                <w:szCs w:val="24"/>
                                <w14:textFill>
                                  <w14:solidFill>
                                    <w14:schemeClr w14:val="tx1">
                                      <w14:lumMod w14:val="65000"/>
                                      <w14:lumOff w14:val="35000"/>
                                    </w14:schemeClr>
                                  </w14:solidFill>
                                </w14:textFill>
                              </w:rPr>
                            </w:pPr>
                          </w:p>
                          <w:p>
                            <w:pPr>
                              <w:spacing w:line="360" w:lineRule="exact"/>
                              <w:rPr>
                                <w:rFonts w:hint="eastAsia" w:ascii="微软雅黑" w:hAnsi="微软雅黑" w:eastAsia="微软雅黑" w:cs="微软雅黑"/>
                                <w:color w:val="595959" w:themeColor="text1" w:themeTint="A6"/>
                                <w:sz w:val="24"/>
                                <w:szCs w:val="24"/>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24"/>
                                <w14:textFill>
                                  <w14:solidFill>
                                    <w14:schemeClr w14:val="tx1">
                                      <w14:lumMod w14:val="65000"/>
                                      <w14:lumOff w14:val="35000"/>
                                    </w14:schemeClr>
                                  </w14:solidFill>
                                </w14:textFill>
                              </w:rPr>
                              <w:t>丰富的业务流程变革经验：在华为深度卷入LTC（销售）、IPD（研发）和IFS（财经）业务流程变革，主导全球报价流程变革试点。参与接近数百个项目的投标和合同商务谈判，建立了以市场为导向的工作模式。</w:t>
                            </w:r>
                          </w:p>
                          <w:p>
                            <w:pPr>
                              <w:spacing w:line="360" w:lineRule="exact"/>
                              <w:rPr>
                                <w:rFonts w:hint="eastAsia" w:ascii="微软雅黑" w:hAnsi="微软雅黑" w:eastAsia="微软雅黑" w:cs="微软雅黑"/>
                                <w:color w:val="595959" w:themeColor="text1" w:themeTint="A6"/>
                                <w:sz w:val="24"/>
                                <w:szCs w:val="24"/>
                                <w14:textFill>
                                  <w14:solidFill>
                                    <w14:schemeClr w14:val="tx1">
                                      <w14:lumMod w14:val="65000"/>
                                      <w14:lumOff w14:val="35000"/>
                                    </w14:schemeClr>
                                  </w14:solidFill>
                                </w14:textFill>
                              </w:rPr>
                            </w:pPr>
                          </w:p>
                          <w:p>
                            <w:pPr>
                              <w:spacing w:line="360" w:lineRule="exact"/>
                              <w:rPr>
                                <w:rFonts w:ascii="微软雅黑" w:hAnsi="微软雅黑" w:eastAsia="微软雅黑" w:cs="微软雅黑"/>
                                <w:b/>
                                <w:bCs/>
                                <w:color w:val="595959" w:themeColor="text1" w:themeTint="A6"/>
                                <w:sz w:val="24"/>
                                <w:szCs w:val="24"/>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24"/>
                                <w14:textFill>
                                  <w14:solidFill>
                                    <w14:schemeClr w14:val="tx1">
                                      <w14:lumMod w14:val="65000"/>
                                      <w14:lumOff w14:val="35000"/>
                                    </w14:schemeClr>
                                  </w14:solidFill>
                                </w14:textFill>
                              </w:rPr>
                              <w:t>国际化视野：并先后在澳大利亚、马来西亚、印度尼西亚等亚太国家工作7年，成功带领20多人的跨文化财务团队。</w:t>
                            </w:r>
                          </w:p>
                          <w:p>
                            <w:pPr>
                              <w:spacing w:line="320" w:lineRule="exact"/>
                              <w:rPr>
                                <w:rFonts w:ascii="微软雅黑" w:hAnsi="微软雅黑" w:eastAsia="微软雅黑" w:cs="微软雅黑"/>
                                <w:b/>
                                <w:bCs/>
                                <w:color w:val="3F3F3F"/>
                                <w:sz w:val="24"/>
                                <w:szCs w:val="24"/>
                              </w:rPr>
                            </w:pPr>
                          </w:p>
                          <w:p>
                            <w:pPr>
                              <w:spacing w:line="320" w:lineRule="exact"/>
                              <w:rPr>
                                <w:rFonts w:hint="eastAsia" w:ascii="微软雅黑" w:hAnsi="微软雅黑" w:eastAsia="微软雅黑" w:cs="微软雅黑"/>
                                <w:b/>
                                <w:bCs/>
                                <w:color w:val="0070C0"/>
                                <w:sz w:val="22"/>
                                <w:lang w:eastAsia="zh-CN"/>
                              </w:rPr>
                            </w:pPr>
                            <w:r>
                              <w:rPr>
                                <w:rFonts w:hint="eastAsia" w:ascii="微软雅黑" w:hAnsi="微软雅黑" w:eastAsia="微软雅黑" w:cs="微软雅黑"/>
                                <w:b/>
                                <w:bCs/>
                                <w:color w:val="0070C0"/>
                                <w:sz w:val="22"/>
                              </w:rPr>
                              <w:t>擅长领域</w:t>
                            </w:r>
                            <w:r>
                              <w:rPr>
                                <w:rFonts w:hint="eastAsia" w:ascii="微软雅黑" w:hAnsi="微软雅黑" w:eastAsia="微软雅黑" w:cs="微软雅黑"/>
                                <w:b/>
                                <w:bCs/>
                                <w:color w:val="0070C0"/>
                                <w:sz w:val="22"/>
                                <w:lang w:eastAsia="zh-CN"/>
                              </w:rPr>
                              <w:t>：</w:t>
                            </w:r>
                          </w:p>
                          <w:p>
                            <w:pPr>
                              <w:spacing w:line="360" w:lineRule="exact"/>
                              <w:rPr>
                                <w:rFonts w:hint="eastAsia" w:ascii="微软雅黑" w:hAnsi="微软雅黑" w:eastAsia="微软雅黑" w:cs="微软雅黑"/>
                                <w:color w:val="595959" w:themeColor="text1" w:themeTint="A6"/>
                                <w:sz w:val="24"/>
                                <w:szCs w:val="24"/>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24"/>
                                <w14:textFill>
                                  <w14:solidFill>
                                    <w14:schemeClr w14:val="tx1">
                                      <w14:lumMod w14:val="65000"/>
                                      <w14:lumOff w14:val="35000"/>
                                    </w14:schemeClr>
                                  </w14:solidFill>
                                </w14:textFill>
                              </w:rPr>
                              <w:t>《海外业务模式选择与合同管理》、《一带一路和自贸区战略下对外贸易新格局专题培训班》、《全球化背景下的公司财务管理和财务转型》</w:t>
                            </w:r>
                          </w:p>
                          <w:p>
                            <w:pPr>
                              <w:spacing w:line="320" w:lineRule="exact"/>
                              <w:rPr>
                                <w:rFonts w:ascii="微软雅黑" w:hAnsi="微软雅黑" w:eastAsia="微软雅黑" w:cs="微软雅黑"/>
                                <w:color w:val="333333"/>
                                <w:sz w:val="18"/>
                                <w:szCs w:val="16"/>
                              </w:rPr>
                            </w:pPr>
                          </w:p>
                        </w:txbxContent>
                      </wps:txbx>
                      <wps:bodyPr rot="0" vert="horz" wrap="square" lIns="91437" tIns="45720" rIns="91437" bIns="45720" anchor="t" anchorCtr="0" upright="1">
                        <a:noAutofit/>
                      </wps:bodyPr>
                    </wps:wsp>
                  </a:graphicData>
                </a:graphic>
              </wp:anchor>
            </w:drawing>
          </mc:Choice>
          <mc:Fallback>
            <w:pict>
              <v:shape id="_x0000_s1026" o:spid="_x0000_s1026" o:spt="202" type="#_x0000_t202" style="position:absolute;left:0pt;margin-left:103.15pt;margin-top:12.45pt;height:503.15pt;width:367.4pt;z-index:253104128;mso-width-relative:page;mso-height-relative:page;" filled="f" stroked="f" coordsize="21600,21600" o:gfxdata="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d/ytgAAAALAQAADwAAAAAAAAABACAAAAAiAAAAZHJzL2Rvd25y&#10;ZXYueG1sUEsBAhQAFAAAAAgAh07iQA2xxeb+AQAAygMAAA4AAAAAAAAAAQAgAAAAJwEAAGRycy9l&#10;Mm9Eb2MueG1sUEsFBgAAAAAGAAYAWQEAAJcFAAAAAA==&#10;">
                <v:fill on="f" focussize="0,0"/>
                <v:stroke on="f"/>
                <v:imagedata o:title=""/>
                <o:lock v:ext="edit" aspectratio="f"/>
                <v:textbox inset="7.19976377952756pt,1.27mm,7.19976377952756pt,1.27mm">
                  <w:txbxContent>
                    <w:p>
                      <w:pPr>
                        <w:spacing w:line="440" w:lineRule="exact"/>
                        <w:jc w:val="left"/>
                        <w:rPr>
                          <w:rFonts w:ascii="微软雅黑" w:hAnsi="微软雅黑" w:eastAsia="微软雅黑" w:cs="微软雅黑"/>
                          <w:b/>
                          <w:bCs/>
                          <w:color w:val="595959"/>
                          <w:sz w:val="24"/>
                          <w:szCs w:val="24"/>
                        </w:rPr>
                      </w:pPr>
                      <w:r>
                        <w:rPr>
                          <w:rFonts w:hint="eastAsia" w:ascii="微软雅黑" w:hAnsi="微软雅黑" w:eastAsia="微软雅黑" w:cs="微软雅黑"/>
                          <w:b/>
                          <w:bCs/>
                          <w:color w:val="595959"/>
                          <w:sz w:val="24"/>
                          <w:szCs w:val="24"/>
                        </w:rPr>
                        <w:t>张</w:t>
                      </w:r>
                      <w:r>
                        <w:rPr>
                          <w:rFonts w:hint="eastAsia" w:ascii="微软雅黑" w:hAnsi="微软雅黑" w:eastAsia="微软雅黑" w:cs="微软雅黑"/>
                          <w:b/>
                          <w:bCs/>
                          <w:color w:val="595959"/>
                          <w:sz w:val="24"/>
                          <w:szCs w:val="24"/>
                          <w:lang w:eastAsia="zh-CN"/>
                        </w:rPr>
                        <w:t>老师</w:t>
                      </w:r>
                    </w:p>
                    <w:p>
                      <w:pPr>
                        <w:spacing w:line="320" w:lineRule="exact"/>
                        <w:rPr>
                          <w:rFonts w:hint="eastAsia" w:ascii="微软雅黑" w:hAnsi="微软雅黑" w:eastAsia="微软雅黑" w:cs="微软雅黑"/>
                          <w:b/>
                          <w:bCs/>
                          <w:color w:val="595959"/>
                          <w:sz w:val="24"/>
                          <w:szCs w:val="24"/>
                        </w:rPr>
                      </w:pPr>
                      <w:r>
                        <w:rPr>
                          <w:rFonts w:hint="eastAsia" w:ascii="微软雅黑" w:hAnsi="微软雅黑" w:eastAsia="微软雅黑" w:cs="微软雅黑"/>
                          <w:b/>
                          <w:bCs/>
                          <w:color w:val="595959"/>
                          <w:sz w:val="24"/>
                          <w:szCs w:val="24"/>
                        </w:rPr>
                        <w:t>原华为海外地区部客户及项目财务总监</w:t>
                      </w:r>
                    </w:p>
                    <w:p>
                      <w:pPr>
                        <w:spacing w:line="320" w:lineRule="exact"/>
                        <w:rPr>
                          <w:rFonts w:hint="eastAsia" w:ascii="微软雅黑" w:hAnsi="微软雅黑" w:eastAsia="微软雅黑" w:cs="微软雅黑"/>
                          <w:b/>
                          <w:bCs/>
                          <w:color w:val="595959"/>
                          <w:sz w:val="24"/>
                          <w:szCs w:val="24"/>
                        </w:rPr>
                      </w:pPr>
                      <w:r>
                        <w:rPr>
                          <w:rFonts w:hint="eastAsia" w:ascii="微软雅黑" w:hAnsi="微软雅黑" w:eastAsia="微软雅黑" w:cs="微软雅黑"/>
                          <w:b/>
                          <w:bCs/>
                          <w:color w:val="595959"/>
                          <w:sz w:val="24"/>
                          <w:szCs w:val="24"/>
                        </w:rPr>
                        <w:t>原华为核心网产品线财务总监</w:t>
                      </w:r>
                    </w:p>
                    <w:p>
                      <w:pPr>
                        <w:spacing w:line="320" w:lineRule="exact"/>
                        <w:rPr>
                          <w:rFonts w:hint="eastAsia" w:ascii="微软雅黑" w:hAnsi="微软雅黑" w:eastAsia="微软雅黑" w:cs="微软雅黑"/>
                          <w:b/>
                          <w:bCs/>
                          <w:color w:val="595959"/>
                          <w:sz w:val="24"/>
                          <w:szCs w:val="24"/>
                        </w:rPr>
                      </w:pPr>
                      <w:r>
                        <w:rPr>
                          <w:rFonts w:hint="eastAsia" w:ascii="微软雅黑" w:hAnsi="微软雅黑" w:eastAsia="微软雅黑" w:cs="微软雅黑"/>
                          <w:b/>
                          <w:bCs/>
                          <w:color w:val="595959"/>
                          <w:sz w:val="24"/>
                          <w:szCs w:val="24"/>
                        </w:rPr>
                        <w:t>10年华为工作经验</w:t>
                      </w:r>
                    </w:p>
                    <w:p>
                      <w:pPr>
                        <w:spacing w:line="320" w:lineRule="exact"/>
                        <w:rPr>
                          <w:rFonts w:hint="eastAsia" w:ascii="微软雅黑" w:hAnsi="微软雅黑" w:eastAsia="微软雅黑" w:cs="微软雅黑"/>
                          <w:b/>
                          <w:bCs/>
                          <w:color w:val="595959"/>
                          <w:sz w:val="24"/>
                          <w:szCs w:val="24"/>
                        </w:rPr>
                      </w:pPr>
                    </w:p>
                    <w:p>
                      <w:pPr>
                        <w:spacing w:line="320" w:lineRule="exact"/>
                        <w:rPr>
                          <w:rFonts w:hint="eastAsia" w:ascii="微软雅黑" w:hAnsi="微软雅黑" w:eastAsia="微软雅黑" w:cs="微软雅黑"/>
                          <w:b/>
                          <w:bCs/>
                          <w:color w:val="595959"/>
                          <w:sz w:val="24"/>
                          <w:szCs w:val="24"/>
                          <w:lang w:eastAsia="zh-CN"/>
                        </w:rPr>
                      </w:pPr>
                      <w:r>
                        <w:rPr>
                          <w:rFonts w:ascii="微软雅黑" w:hAnsi="微软雅黑" w:eastAsia="微软雅黑" w:cs="微软雅黑"/>
                          <w:b/>
                          <w:bCs/>
                          <w:color w:val="0070C0"/>
                          <w:sz w:val="22"/>
                        </w:rPr>
                        <w:t>职业</w:t>
                      </w:r>
                      <w:r>
                        <w:rPr>
                          <w:rFonts w:hint="eastAsia" w:ascii="微软雅黑" w:hAnsi="微软雅黑" w:eastAsia="微软雅黑" w:cs="微软雅黑"/>
                          <w:b/>
                          <w:bCs/>
                          <w:color w:val="0070C0"/>
                          <w:sz w:val="22"/>
                        </w:rPr>
                        <w:t>经历</w:t>
                      </w:r>
                      <w:r>
                        <w:rPr>
                          <w:rFonts w:hint="eastAsia" w:ascii="微软雅黑" w:hAnsi="微软雅黑" w:eastAsia="微软雅黑" w:cs="微软雅黑"/>
                          <w:b/>
                          <w:bCs/>
                          <w:color w:val="0070C0"/>
                          <w:sz w:val="22"/>
                          <w:lang w:eastAsia="zh-CN"/>
                        </w:rPr>
                        <w:t>：</w:t>
                      </w:r>
                    </w:p>
                    <w:p>
                      <w:pPr>
                        <w:spacing w:line="360" w:lineRule="exact"/>
                        <w:rPr>
                          <w:rFonts w:hint="eastAsia" w:ascii="微软雅黑" w:hAnsi="微软雅黑" w:eastAsia="微软雅黑" w:cs="微软雅黑"/>
                          <w:color w:val="595959" w:themeColor="text1" w:themeTint="A6"/>
                          <w:sz w:val="24"/>
                          <w:szCs w:val="24"/>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24"/>
                          <w14:textFill>
                            <w14:solidFill>
                              <w14:schemeClr w14:val="tx1">
                                <w14:lumMod w14:val="65000"/>
                                <w14:lumOff w14:val="35000"/>
                              </w14:schemeClr>
                            </w14:solidFill>
                          </w14:textFill>
                        </w:rPr>
                        <w:t>18年跨行业财务管理经验：先后服务知名房地产、高科技及新能源等企业，经历产品研发、合同销售及交付回款的全流程财务管理。在中长期财务战略规划、预算执行及监控、费用监控、项目财务模型及融资、税务筹划、外汇核算等方面经验丰富。</w:t>
                      </w:r>
                    </w:p>
                    <w:p>
                      <w:pPr>
                        <w:spacing w:line="360" w:lineRule="exact"/>
                        <w:rPr>
                          <w:rFonts w:hint="eastAsia" w:ascii="微软雅黑" w:hAnsi="微软雅黑" w:eastAsia="微软雅黑" w:cs="微软雅黑"/>
                          <w:color w:val="595959" w:themeColor="text1" w:themeTint="A6"/>
                          <w:sz w:val="24"/>
                          <w:szCs w:val="24"/>
                          <w14:textFill>
                            <w14:solidFill>
                              <w14:schemeClr w14:val="tx1">
                                <w14:lumMod w14:val="65000"/>
                                <w14:lumOff w14:val="35000"/>
                              </w14:schemeClr>
                            </w14:solidFill>
                          </w14:textFill>
                        </w:rPr>
                      </w:pPr>
                    </w:p>
                    <w:p>
                      <w:pPr>
                        <w:spacing w:line="360" w:lineRule="exact"/>
                        <w:rPr>
                          <w:rFonts w:hint="eastAsia" w:ascii="微软雅黑" w:hAnsi="微软雅黑" w:eastAsia="微软雅黑" w:cs="微软雅黑"/>
                          <w:color w:val="595959" w:themeColor="text1" w:themeTint="A6"/>
                          <w:sz w:val="24"/>
                          <w:szCs w:val="24"/>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24"/>
                          <w14:textFill>
                            <w14:solidFill>
                              <w14:schemeClr w14:val="tx1">
                                <w14:lumMod w14:val="65000"/>
                                <w14:lumOff w14:val="35000"/>
                              </w14:schemeClr>
                            </w14:solidFill>
                          </w14:textFill>
                        </w:rPr>
                        <w:t>丰富的业务流程变革经验：在华为深度卷入LTC（销售）、IPD（研发）和IFS（财经）业务流程变革，主导全球报价流程变革试点。参与接近数百个项目的投标和合同商务谈判，建立了以市场为导向的工作模式。</w:t>
                      </w:r>
                    </w:p>
                    <w:p>
                      <w:pPr>
                        <w:spacing w:line="360" w:lineRule="exact"/>
                        <w:rPr>
                          <w:rFonts w:hint="eastAsia" w:ascii="微软雅黑" w:hAnsi="微软雅黑" w:eastAsia="微软雅黑" w:cs="微软雅黑"/>
                          <w:color w:val="595959" w:themeColor="text1" w:themeTint="A6"/>
                          <w:sz w:val="24"/>
                          <w:szCs w:val="24"/>
                          <w14:textFill>
                            <w14:solidFill>
                              <w14:schemeClr w14:val="tx1">
                                <w14:lumMod w14:val="65000"/>
                                <w14:lumOff w14:val="35000"/>
                              </w14:schemeClr>
                            </w14:solidFill>
                          </w14:textFill>
                        </w:rPr>
                      </w:pPr>
                    </w:p>
                    <w:p>
                      <w:pPr>
                        <w:spacing w:line="360" w:lineRule="exact"/>
                        <w:rPr>
                          <w:rFonts w:ascii="微软雅黑" w:hAnsi="微软雅黑" w:eastAsia="微软雅黑" w:cs="微软雅黑"/>
                          <w:b/>
                          <w:bCs/>
                          <w:color w:val="595959" w:themeColor="text1" w:themeTint="A6"/>
                          <w:sz w:val="24"/>
                          <w:szCs w:val="24"/>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24"/>
                          <w14:textFill>
                            <w14:solidFill>
                              <w14:schemeClr w14:val="tx1">
                                <w14:lumMod w14:val="65000"/>
                                <w14:lumOff w14:val="35000"/>
                              </w14:schemeClr>
                            </w14:solidFill>
                          </w14:textFill>
                        </w:rPr>
                        <w:t>国际化视野：并先后在澳大利亚、马来西亚、印度尼西亚等亚太国家工作7年，成功带领20多人的跨文化财务团队。</w:t>
                      </w:r>
                    </w:p>
                    <w:p>
                      <w:pPr>
                        <w:spacing w:line="320" w:lineRule="exact"/>
                        <w:rPr>
                          <w:rFonts w:ascii="微软雅黑" w:hAnsi="微软雅黑" w:eastAsia="微软雅黑" w:cs="微软雅黑"/>
                          <w:b/>
                          <w:bCs/>
                          <w:color w:val="3F3F3F"/>
                          <w:sz w:val="24"/>
                          <w:szCs w:val="24"/>
                        </w:rPr>
                      </w:pPr>
                    </w:p>
                    <w:p>
                      <w:pPr>
                        <w:spacing w:line="320" w:lineRule="exact"/>
                        <w:rPr>
                          <w:rFonts w:hint="eastAsia" w:ascii="微软雅黑" w:hAnsi="微软雅黑" w:eastAsia="微软雅黑" w:cs="微软雅黑"/>
                          <w:b/>
                          <w:bCs/>
                          <w:color w:val="0070C0"/>
                          <w:sz w:val="22"/>
                          <w:lang w:eastAsia="zh-CN"/>
                        </w:rPr>
                      </w:pPr>
                      <w:r>
                        <w:rPr>
                          <w:rFonts w:hint="eastAsia" w:ascii="微软雅黑" w:hAnsi="微软雅黑" w:eastAsia="微软雅黑" w:cs="微软雅黑"/>
                          <w:b/>
                          <w:bCs/>
                          <w:color w:val="0070C0"/>
                          <w:sz w:val="22"/>
                        </w:rPr>
                        <w:t>擅长领域</w:t>
                      </w:r>
                      <w:r>
                        <w:rPr>
                          <w:rFonts w:hint="eastAsia" w:ascii="微软雅黑" w:hAnsi="微软雅黑" w:eastAsia="微软雅黑" w:cs="微软雅黑"/>
                          <w:b/>
                          <w:bCs/>
                          <w:color w:val="0070C0"/>
                          <w:sz w:val="22"/>
                          <w:lang w:eastAsia="zh-CN"/>
                        </w:rPr>
                        <w:t>：</w:t>
                      </w:r>
                    </w:p>
                    <w:p>
                      <w:pPr>
                        <w:spacing w:line="360" w:lineRule="exact"/>
                        <w:rPr>
                          <w:rFonts w:hint="eastAsia" w:ascii="微软雅黑" w:hAnsi="微软雅黑" w:eastAsia="微软雅黑" w:cs="微软雅黑"/>
                          <w:color w:val="595959" w:themeColor="text1" w:themeTint="A6"/>
                          <w:sz w:val="24"/>
                          <w:szCs w:val="24"/>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24"/>
                          <w14:textFill>
                            <w14:solidFill>
                              <w14:schemeClr w14:val="tx1">
                                <w14:lumMod w14:val="65000"/>
                                <w14:lumOff w14:val="35000"/>
                              </w14:schemeClr>
                            </w14:solidFill>
                          </w14:textFill>
                        </w:rPr>
                        <w:t>《海外业务模式选择与合同管理》、《一带一路和自贸区战略下对外贸易新格局专题培训班》、《全球化背景下的公司财务管理和财务转型》</w:t>
                      </w:r>
                    </w:p>
                    <w:p>
                      <w:pPr>
                        <w:spacing w:line="320" w:lineRule="exact"/>
                        <w:rPr>
                          <w:rFonts w:ascii="微软雅黑" w:hAnsi="微软雅黑" w:eastAsia="微软雅黑" w:cs="微软雅黑"/>
                          <w:color w:val="333333"/>
                          <w:sz w:val="18"/>
                          <w:szCs w:val="16"/>
                        </w:rPr>
                      </w:pPr>
                    </w:p>
                  </w:txbxContent>
                </v:textbox>
              </v:shape>
            </w:pict>
          </mc:Fallback>
        </mc:AlternateContent>
      </w:r>
      <w:r>
        <w:rPr>
          <w:rFonts w:hint="eastAsia" w:ascii="微软雅黑" w:hAnsi="微软雅黑" w:eastAsia="微软雅黑" w:cs="微软雅黑"/>
          <w:b/>
          <w:color w:val="0070C0"/>
          <w:sz w:val="24"/>
          <w:szCs w:val="24"/>
          <w:lang w:eastAsia="zh-CN"/>
        </w:rPr>
        <w:drawing>
          <wp:anchor distT="0" distB="0" distL="114300" distR="114300" simplePos="0" relativeHeight="253108224" behindDoc="0" locked="0" layoutInCell="1" allowOverlap="1">
            <wp:simplePos x="0" y="0"/>
            <wp:positionH relativeFrom="column">
              <wp:posOffset>-335915</wp:posOffset>
            </wp:positionH>
            <wp:positionV relativeFrom="paragraph">
              <wp:posOffset>231140</wp:posOffset>
            </wp:positionV>
            <wp:extent cx="1426210" cy="1426210"/>
            <wp:effectExtent l="0" t="0" r="2540" b="2540"/>
            <wp:wrapNone/>
            <wp:docPr id="14" name="图片 14" descr="乔诺头像专用头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乔诺头像专用头像"/>
                    <pic:cNvPicPr>
                      <a:picLocks noChangeAspect="1"/>
                    </pic:cNvPicPr>
                  </pic:nvPicPr>
                  <pic:blipFill>
                    <a:blip r:embed="rId8"/>
                    <a:stretch>
                      <a:fillRect/>
                    </a:stretch>
                  </pic:blipFill>
                  <pic:spPr>
                    <a:xfrm>
                      <a:off x="0" y="0"/>
                      <a:ext cx="1426210" cy="1426210"/>
                    </a:xfrm>
                    <a:prstGeom prst="rect">
                      <a:avLst/>
                    </a:prstGeom>
                  </pic:spPr>
                </pic:pic>
              </a:graphicData>
            </a:graphic>
          </wp:anchor>
        </w:drawing>
      </w:r>
    </w:p>
    <w:p>
      <w:pPr>
        <w:spacing w:line="440" w:lineRule="exact"/>
        <w:jc w:val="left"/>
        <w:rPr>
          <w:rFonts w:hint="eastAsia" w:ascii="微软雅黑" w:hAnsi="微软雅黑" w:eastAsia="微软雅黑" w:cs="微软雅黑"/>
          <w:b/>
          <w:color w:val="0070C0"/>
          <w:sz w:val="24"/>
          <w:szCs w:val="24"/>
          <w:lang w:eastAsia="zh-CN"/>
        </w:rPr>
      </w:pPr>
    </w:p>
    <w:p>
      <w:pPr>
        <w:spacing w:line="440" w:lineRule="exact"/>
        <w:jc w:val="left"/>
        <w:rPr>
          <w:rFonts w:hint="eastAsia" w:ascii="微软雅黑" w:hAnsi="微软雅黑" w:eastAsia="微软雅黑" w:cs="微软雅黑"/>
          <w:b/>
          <w:color w:val="0070C0"/>
          <w:sz w:val="24"/>
          <w:szCs w:val="24"/>
          <w:lang w:eastAsia="zh-CN"/>
        </w:rPr>
      </w:pPr>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0070C0"/>
          <w:sz w:val="24"/>
          <w:szCs w:val="24"/>
        </w:rPr>
      </w:pPr>
    </w:p>
    <w:tbl>
      <w:tblPr>
        <w:tblStyle w:val="8"/>
        <w:tblW w:w="10093" w:type="dxa"/>
        <w:jc w:val="center"/>
        <w:tblInd w:w="0" w:type="dxa"/>
        <w:tblLayout w:type="fixed"/>
        <w:tblCellMar>
          <w:top w:w="0" w:type="dxa"/>
          <w:left w:w="108" w:type="dxa"/>
          <w:bottom w:w="0" w:type="dxa"/>
          <w:right w:w="108" w:type="dxa"/>
        </w:tblCellMar>
      </w:tblPr>
      <w:tblGrid>
        <w:gridCol w:w="1567"/>
        <w:gridCol w:w="959"/>
        <w:gridCol w:w="2038"/>
        <w:gridCol w:w="2947"/>
        <w:gridCol w:w="1110"/>
        <w:gridCol w:w="1472"/>
      </w:tblGrid>
      <w:tr>
        <w:tblPrEx>
          <w:tblLayout w:type="fixed"/>
          <w:tblCellMar>
            <w:top w:w="0" w:type="dxa"/>
            <w:left w:w="108" w:type="dxa"/>
            <w:bottom w:w="0" w:type="dxa"/>
            <w:right w:w="108" w:type="dxa"/>
          </w:tblCellMar>
        </w:tblPrEx>
        <w:trPr>
          <w:trHeight w:val="1300"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C00000"/>
            <w:vAlign w:val="center"/>
          </w:tcPr>
          <w:p>
            <w:pPr>
              <w:spacing w:line="600" w:lineRule="exact"/>
              <w:jc w:val="center"/>
              <w:rPr>
                <w:rFonts w:hint="eastAsia" w:ascii="微软雅黑" w:hAnsi="微软雅黑" w:eastAsia="微软雅黑"/>
                <w:bCs/>
                <w:color w:val="FFFFFF" w:themeColor="background1"/>
                <w:sz w:val="32"/>
                <w:szCs w:val="32"/>
                <w14:textFill>
                  <w14:solidFill>
                    <w14:schemeClr w14:val="bg1"/>
                  </w14:solidFill>
                </w14:textFill>
              </w:rPr>
            </w:pPr>
            <w:r>
              <w:rPr>
                <w:rFonts w:hint="eastAsia" w:ascii="微软雅黑" w:hAnsi="微软雅黑" w:eastAsia="微软雅黑"/>
                <w:bCs/>
                <w:color w:val="FFFFFF" w:themeColor="background1"/>
                <w:sz w:val="32"/>
                <w:szCs w:val="32"/>
                <w14:textFill>
                  <w14:solidFill>
                    <w14:schemeClr w14:val="bg1"/>
                  </w14:solidFill>
                </w14:textFill>
              </w:rPr>
              <w:t>《</w:t>
            </w:r>
            <w:r>
              <w:rPr>
                <w:rFonts w:hint="eastAsia" w:ascii="微软雅黑" w:hAnsi="微软雅黑" w:eastAsia="微软雅黑"/>
                <w:bCs/>
                <w:color w:val="FFFFFF" w:themeColor="background1"/>
                <w:sz w:val="32"/>
                <w:szCs w:val="32"/>
                <w:lang w:eastAsia="zh-CN"/>
                <w14:textFill>
                  <w14:solidFill>
                    <w14:schemeClr w14:val="bg1"/>
                  </w14:solidFill>
                </w14:textFill>
              </w:rPr>
              <w:t>海外业务模式选择与合同管理</w:t>
            </w:r>
            <w:r>
              <w:rPr>
                <w:rFonts w:hint="eastAsia" w:ascii="微软雅黑" w:hAnsi="微软雅黑" w:eastAsia="微软雅黑"/>
                <w:bCs/>
                <w:color w:val="FFFFFF" w:themeColor="background1"/>
                <w:sz w:val="32"/>
                <w:szCs w:val="32"/>
                <w14:textFill>
                  <w14:solidFill>
                    <w14:schemeClr w14:val="bg1"/>
                  </w14:solidFill>
                </w14:textFill>
              </w:rPr>
              <w:t>》</w:t>
            </w:r>
          </w:p>
          <w:p>
            <w:pPr>
              <w:spacing w:line="600" w:lineRule="exact"/>
              <w:jc w:val="center"/>
              <w:rPr>
                <w:rFonts w:ascii="微软雅黑" w:hAnsi="微软雅黑" w:eastAsia="微软雅黑"/>
                <w:b/>
                <w:color w:val="FFFFFF" w:themeColor="background1"/>
                <w:sz w:val="32"/>
                <w14:textFill>
                  <w14:solidFill>
                    <w14:schemeClr w14:val="bg1"/>
                  </w14:solidFill>
                </w14:textFill>
              </w:rPr>
            </w:pPr>
            <w:r>
              <w:rPr>
                <w:rFonts w:hint="eastAsia" w:ascii="微软雅黑" w:hAnsi="微软雅黑" w:eastAsia="微软雅黑"/>
                <w:bCs/>
                <w:color w:val="FFFFFF" w:themeColor="background1"/>
                <w:sz w:val="32"/>
                <w:szCs w:val="32"/>
                <w14:textFill>
                  <w14:solidFill>
                    <w14:schemeClr w14:val="bg1"/>
                  </w14:solidFill>
                </w14:textFill>
              </w:rPr>
              <w:t>报名表</w:t>
            </w:r>
          </w:p>
        </w:tc>
      </w:tr>
      <w:tr>
        <w:tblPrEx>
          <w:tblLayout w:type="fixed"/>
          <w:tblCellMar>
            <w:top w:w="0" w:type="dxa"/>
            <w:left w:w="108" w:type="dxa"/>
            <w:bottom w:w="0" w:type="dxa"/>
            <w:right w:w="108" w:type="dxa"/>
          </w:tblCellMar>
        </w:tblPrEx>
        <w:trPr>
          <w:trHeight w:val="454"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7E7E7E" w:themeFill="background1" w:themeFillShade="7F"/>
            <w:vAlign w:val="center"/>
          </w:tcPr>
          <w:p>
            <w:pPr>
              <w:jc w:val="center"/>
              <w:rPr>
                <w:rFonts w:hint="eastAsia" w:ascii="微软雅黑" w:hAnsi="微软雅黑" w:eastAsia="微软雅黑"/>
                <w:color w:val="000000"/>
                <w:sz w:val="24"/>
                <w:lang w:eastAsia="zh-CN"/>
              </w:rPr>
            </w:pPr>
            <w:r>
              <w:rPr>
                <w:rFonts w:hint="eastAsia" w:ascii="微软雅黑" w:hAnsi="微软雅黑" w:eastAsia="微软雅黑"/>
                <w:b/>
                <w:color w:val="FFFFFF" w:themeColor="background1"/>
                <w:sz w:val="24"/>
                <w:lang w:eastAsia="zh-CN"/>
                <w14:textFill>
                  <w14:solidFill>
                    <w14:schemeClr w14:val="bg1"/>
                  </w14:solidFill>
                </w14:textFill>
              </w:rPr>
              <w:t>支付汇款</w:t>
            </w:r>
          </w:p>
        </w:tc>
      </w:tr>
      <w:tr>
        <w:tblPrEx>
          <w:tblLayout w:type="fixed"/>
          <w:tblCellMar>
            <w:top w:w="0" w:type="dxa"/>
            <w:left w:w="108" w:type="dxa"/>
            <w:bottom w:w="0" w:type="dxa"/>
            <w:right w:w="108" w:type="dxa"/>
          </w:tblCellMar>
        </w:tblPrEx>
        <w:trPr>
          <w:trHeight w:val="1002"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auto"/>
            <w:vAlign w:val="center"/>
          </w:tcPr>
          <w:p>
            <w:pPr>
              <w:adjustRightInd w:val="0"/>
              <w:snapToGrid w:val="0"/>
              <w:rPr>
                <w:rFonts w:ascii="微软雅黑" w:hAnsi="微软雅黑" w:eastAsia="微软雅黑"/>
                <w:color w:val="000000"/>
                <w:sz w:val="24"/>
              </w:rPr>
            </w:pPr>
            <w:r>
              <w:rPr>
                <w:rFonts w:hint="eastAsia" w:ascii="微软雅黑" w:hAnsi="微软雅黑" w:eastAsia="微软雅黑"/>
                <w:color w:val="000000"/>
                <w:sz w:val="24"/>
              </w:rPr>
              <w:t>汇款账户：</w:t>
            </w:r>
          </w:p>
          <w:p>
            <w:pPr>
              <w:adjustRightInd w:val="0"/>
              <w:snapToGrid w:val="0"/>
              <w:rPr>
                <w:rFonts w:ascii="微软雅黑" w:hAnsi="微软雅黑" w:eastAsia="微软雅黑"/>
                <w:color w:val="000000"/>
                <w:sz w:val="24"/>
              </w:rPr>
            </w:pPr>
            <w:r>
              <w:rPr>
                <w:rFonts w:hint="eastAsia" w:ascii="微软雅黑" w:hAnsi="微软雅黑" w:eastAsia="微软雅黑"/>
                <w:color w:val="000000"/>
                <w:sz w:val="24"/>
              </w:rPr>
              <w:t>单位名称：上海乔诺企业管理咨询有限公司</w:t>
            </w:r>
          </w:p>
          <w:p>
            <w:pPr>
              <w:adjustRightInd w:val="0"/>
              <w:snapToGrid w:val="0"/>
              <w:rPr>
                <w:rFonts w:ascii="微软雅黑" w:hAnsi="微软雅黑" w:eastAsia="微软雅黑"/>
                <w:color w:val="000000"/>
                <w:sz w:val="24"/>
              </w:rPr>
            </w:pPr>
            <w:r>
              <w:rPr>
                <w:rFonts w:hint="eastAsia" w:ascii="微软雅黑" w:hAnsi="微软雅黑" w:eastAsia="微软雅黑"/>
                <w:color w:val="000000"/>
                <w:sz w:val="24"/>
              </w:rPr>
              <w:t>银行账号：</w:t>
            </w:r>
            <w:r>
              <w:rPr>
                <w:rFonts w:ascii="微软雅黑" w:hAnsi="微软雅黑" w:eastAsia="微软雅黑"/>
                <w:color w:val="000000"/>
                <w:sz w:val="24"/>
              </w:rPr>
              <w:t>3105 0174 5300 0000 0106</w:t>
            </w:r>
          </w:p>
          <w:p>
            <w:pPr>
              <w:adjustRightInd w:val="0"/>
              <w:snapToGrid w:val="0"/>
              <w:rPr>
                <w:rFonts w:ascii="微软雅黑" w:hAnsi="微软雅黑" w:eastAsia="微软雅黑"/>
                <w:color w:val="000000"/>
                <w:sz w:val="24"/>
              </w:rPr>
            </w:pPr>
            <w:r>
              <w:rPr>
                <w:rFonts w:hint="eastAsia" w:ascii="微软雅黑" w:hAnsi="微软雅黑" w:eastAsia="微软雅黑"/>
                <w:color w:val="000000"/>
                <w:sz w:val="24"/>
              </w:rPr>
              <w:t>开 户 行：中国建设银行股份有限公司上海临空支行</w:t>
            </w:r>
          </w:p>
        </w:tc>
      </w:tr>
      <w:tr>
        <w:tblPrEx>
          <w:tblLayout w:type="fixed"/>
          <w:tblCellMar>
            <w:top w:w="0" w:type="dxa"/>
            <w:left w:w="108" w:type="dxa"/>
            <w:bottom w:w="0" w:type="dxa"/>
            <w:right w:w="108" w:type="dxa"/>
          </w:tblCellMar>
        </w:tblPrEx>
        <w:trPr>
          <w:trHeight w:val="705"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7E7E7E"/>
            <w:vAlign w:val="center"/>
          </w:tcPr>
          <w:p>
            <w:pPr>
              <w:jc w:val="center"/>
              <w:rPr>
                <w:rFonts w:ascii="微软雅黑" w:hAnsi="微软雅黑" w:eastAsia="微软雅黑"/>
                <w:color w:val="000000"/>
                <w:sz w:val="24"/>
              </w:rPr>
            </w:pPr>
            <w:r>
              <w:rPr>
                <w:rFonts w:hint="eastAsia" w:ascii="微软雅黑" w:hAnsi="微软雅黑" w:eastAsia="微软雅黑"/>
                <w:b/>
                <w:color w:val="FFFFFF" w:themeColor="background1"/>
                <w:sz w:val="24"/>
                <w:lang w:eastAsia="zh-CN"/>
                <w14:textFill>
                  <w14:solidFill>
                    <w14:schemeClr w14:val="bg1"/>
                  </w14:solidFill>
                </w14:textFill>
              </w:rPr>
              <w:t>报名信息</w:t>
            </w:r>
          </w:p>
        </w:tc>
      </w:tr>
      <w:tr>
        <w:tblPrEx>
          <w:tblLayout w:type="fixed"/>
          <w:tblCellMar>
            <w:top w:w="0" w:type="dxa"/>
            <w:left w:w="108" w:type="dxa"/>
            <w:bottom w:w="0" w:type="dxa"/>
            <w:right w:w="108" w:type="dxa"/>
          </w:tblCellMar>
        </w:tblPrEx>
        <w:trPr>
          <w:trHeight w:val="454" w:hRule="atLeast"/>
          <w:jc w:val="center"/>
        </w:trPr>
        <w:tc>
          <w:tcPr>
            <w:tcW w:w="1567" w:type="dxa"/>
            <w:tcBorders>
              <w:top w:val="dotted" w:color="BEBEBE" w:sz="4" w:space="0"/>
              <w:left w:val="dotted" w:color="BEBEBE" w:sz="4" w:space="0"/>
              <w:bottom w:val="dotted" w:color="BEBEBE" w:sz="4" w:space="0"/>
              <w:right w:val="dotted" w:color="BEBEBE" w:sz="4" w:space="0"/>
            </w:tcBorders>
            <w:shd w:val="clear" w:color="auto" w:fill="7E7E7E" w:themeFill="background1" w:themeFillShade="7F"/>
            <w:vAlign w:val="center"/>
          </w:tcPr>
          <w:p>
            <w:pPr>
              <w:jc w:val="center"/>
              <w:rPr>
                <w:rFonts w:ascii="微软雅黑" w:hAnsi="微软雅黑" w:eastAsia="微软雅黑"/>
                <w:color w:val="FFFFFF" w:themeColor="background1"/>
                <w:sz w:val="24"/>
                <w:shd w:val="clear" w:color="auto" w:fill="FEF2CC" w:themeFill="accent4" w:themeFillTint="33"/>
                <w14:textFill>
                  <w14:solidFill>
                    <w14:schemeClr w14:val="bg1"/>
                  </w14:solidFill>
                </w14:textFill>
              </w:rPr>
            </w:pPr>
            <w:r>
              <w:rPr>
                <w:rFonts w:hint="eastAsia" w:ascii="微软雅黑" w:hAnsi="微软雅黑" w:eastAsia="微软雅黑"/>
                <w:color w:val="FFFFFF" w:themeColor="background1"/>
                <w:sz w:val="24"/>
                <w14:textFill>
                  <w14:solidFill>
                    <w14:schemeClr w14:val="bg1"/>
                  </w14:solidFill>
                </w14:textFill>
              </w:rPr>
              <w:t>序号</w:t>
            </w:r>
          </w:p>
        </w:tc>
        <w:tc>
          <w:tcPr>
            <w:tcW w:w="959" w:type="dxa"/>
            <w:tcBorders>
              <w:top w:val="dotted" w:color="BEBEBE" w:sz="4" w:space="0"/>
              <w:left w:val="dotted" w:color="BEBEBE" w:sz="4" w:space="0"/>
              <w:bottom w:val="dotted" w:color="BEBEBE" w:sz="4" w:space="0"/>
              <w:right w:val="dotted" w:color="BEBEBE" w:sz="4" w:space="0"/>
            </w:tcBorders>
            <w:shd w:val="clear" w:color="auto" w:fill="7E7E7E" w:themeFill="background1" w:themeFillShade="7F"/>
            <w:vAlign w:val="center"/>
          </w:tcPr>
          <w:p>
            <w:pPr>
              <w:jc w:val="center"/>
              <w:rPr>
                <w:rFonts w:ascii="微软雅黑" w:hAnsi="微软雅黑" w:eastAsia="微软雅黑"/>
                <w:color w:val="FFFFFF" w:themeColor="background1"/>
                <w:sz w:val="24"/>
                <w14:textFill>
                  <w14:solidFill>
                    <w14:schemeClr w14:val="bg1"/>
                  </w14:solidFill>
                </w14:textFill>
              </w:rPr>
            </w:pPr>
            <w:r>
              <w:rPr>
                <w:rFonts w:hint="eastAsia" w:ascii="微软雅黑" w:hAnsi="微软雅黑" w:eastAsia="微软雅黑"/>
                <w:color w:val="FFFFFF" w:themeColor="background1"/>
                <w:sz w:val="24"/>
                <w14:textFill>
                  <w14:solidFill>
                    <w14:schemeClr w14:val="bg1"/>
                  </w14:solidFill>
                </w14:textFill>
              </w:rPr>
              <w:t>姓名</w:t>
            </w:r>
          </w:p>
        </w:tc>
        <w:tc>
          <w:tcPr>
            <w:tcW w:w="2038" w:type="dxa"/>
            <w:tcBorders>
              <w:top w:val="dotted" w:color="BEBEBE" w:sz="4" w:space="0"/>
              <w:left w:val="dotted" w:color="BEBEBE" w:sz="4" w:space="0"/>
              <w:bottom w:val="dotted" w:color="BEBEBE" w:sz="4" w:space="0"/>
              <w:right w:val="dotted" w:color="BEBEBE" w:sz="4" w:space="0"/>
            </w:tcBorders>
            <w:shd w:val="clear" w:color="auto" w:fill="7E7E7E" w:themeFill="background1" w:themeFillShade="7F"/>
            <w:vAlign w:val="center"/>
          </w:tcPr>
          <w:p>
            <w:pPr>
              <w:jc w:val="center"/>
              <w:rPr>
                <w:rFonts w:ascii="微软雅黑" w:hAnsi="微软雅黑" w:eastAsia="微软雅黑"/>
                <w:color w:val="FFFFFF" w:themeColor="background1"/>
                <w:sz w:val="24"/>
                <w14:textFill>
                  <w14:solidFill>
                    <w14:schemeClr w14:val="bg1"/>
                  </w14:solidFill>
                </w14:textFill>
              </w:rPr>
            </w:pPr>
            <w:r>
              <w:rPr>
                <w:rFonts w:hint="eastAsia" w:ascii="微软雅黑" w:hAnsi="微软雅黑" w:eastAsia="微软雅黑"/>
                <w:color w:val="FFFFFF" w:themeColor="background1"/>
                <w:sz w:val="24"/>
                <w14:textFill>
                  <w14:solidFill>
                    <w14:schemeClr w14:val="bg1"/>
                  </w14:solidFill>
                </w14:textFill>
              </w:rPr>
              <w:t>手机号</w:t>
            </w:r>
          </w:p>
        </w:tc>
        <w:tc>
          <w:tcPr>
            <w:tcW w:w="2947" w:type="dxa"/>
            <w:tcBorders>
              <w:top w:val="dotted" w:color="BEBEBE" w:sz="4" w:space="0"/>
              <w:left w:val="dotted" w:color="BEBEBE" w:sz="4" w:space="0"/>
              <w:bottom w:val="dotted" w:color="BEBEBE" w:sz="4" w:space="0"/>
              <w:right w:val="dotted" w:color="BEBEBE" w:sz="4" w:space="0"/>
            </w:tcBorders>
            <w:shd w:val="clear" w:color="auto" w:fill="7E7E7E" w:themeFill="background1" w:themeFillShade="7F"/>
            <w:vAlign w:val="center"/>
          </w:tcPr>
          <w:p>
            <w:pPr>
              <w:jc w:val="center"/>
              <w:rPr>
                <w:rFonts w:ascii="微软雅黑" w:hAnsi="微软雅黑" w:eastAsia="微软雅黑"/>
                <w:color w:val="FFFFFF" w:themeColor="background1"/>
                <w:sz w:val="24"/>
                <w14:textFill>
                  <w14:solidFill>
                    <w14:schemeClr w14:val="bg1"/>
                  </w14:solidFill>
                </w14:textFill>
              </w:rPr>
            </w:pPr>
            <w:r>
              <w:rPr>
                <w:rFonts w:hint="eastAsia" w:ascii="微软雅黑" w:hAnsi="微软雅黑" w:eastAsia="微软雅黑"/>
                <w:color w:val="FFFFFF" w:themeColor="background1"/>
                <w:sz w:val="24"/>
                <w14:textFill>
                  <w14:solidFill>
                    <w14:schemeClr w14:val="bg1"/>
                  </w14:solidFill>
                </w14:textFill>
              </w:rPr>
              <w:t>邮箱</w:t>
            </w:r>
          </w:p>
        </w:tc>
        <w:tc>
          <w:tcPr>
            <w:tcW w:w="1110" w:type="dxa"/>
            <w:tcBorders>
              <w:top w:val="dotted" w:color="BEBEBE" w:sz="4" w:space="0"/>
              <w:left w:val="dotted" w:color="BEBEBE" w:sz="4" w:space="0"/>
              <w:bottom w:val="dotted" w:color="BEBEBE" w:sz="4" w:space="0"/>
              <w:right w:val="dotted" w:color="BEBEBE" w:sz="4" w:space="0"/>
            </w:tcBorders>
            <w:shd w:val="clear" w:color="auto" w:fill="7E7E7E" w:themeFill="background1" w:themeFillShade="7F"/>
            <w:vAlign w:val="center"/>
          </w:tcPr>
          <w:p>
            <w:pPr>
              <w:jc w:val="center"/>
              <w:rPr>
                <w:rFonts w:ascii="微软雅黑" w:hAnsi="微软雅黑" w:eastAsia="微软雅黑"/>
                <w:color w:val="FFFFFF" w:themeColor="background1"/>
                <w:sz w:val="24"/>
                <w14:textFill>
                  <w14:solidFill>
                    <w14:schemeClr w14:val="bg1"/>
                  </w14:solidFill>
                </w14:textFill>
              </w:rPr>
            </w:pPr>
            <w:r>
              <w:rPr>
                <w:rFonts w:hint="eastAsia" w:ascii="微软雅黑" w:hAnsi="微软雅黑" w:eastAsia="微软雅黑"/>
                <w:color w:val="FFFFFF" w:themeColor="background1"/>
                <w:sz w:val="24"/>
                <w14:textFill>
                  <w14:solidFill>
                    <w14:schemeClr w14:val="bg1"/>
                  </w14:solidFill>
                </w14:textFill>
              </w:rPr>
              <w:t>部门</w:t>
            </w:r>
          </w:p>
        </w:tc>
        <w:tc>
          <w:tcPr>
            <w:tcW w:w="1472" w:type="dxa"/>
            <w:tcBorders>
              <w:top w:val="dotted" w:color="BEBEBE" w:sz="4" w:space="0"/>
              <w:left w:val="dotted" w:color="BEBEBE" w:sz="4" w:space="0"/>
              <w:bottom w:val="dotted" w:color="BEBEBE" w:sz="4" w:space="0"/>
              <w:right w:val="dotted" w:color="BEBEBE" w:sz="4" w:space="0"/>
            </w:tcBorders>
            <w:shd w:val="clear" w:color="auto" w:fill="7E7E7E" w:themeFill="background1" w:themeFillShade="7F"/>
            <w:vAlign w:val="center"/>
          </w:tcPr>
          <w:p>
            <w:pPr>
              <w:jc w:val="center"/>
              <w:rPr>
                <w:rFonts w:ascii="微软雅黑" w:hAnsi="微软雅黑" w:eastAsia="微软雅黑"/>
                <w:color w:val="FFFFFF" w:themeColor="background1"/>
                <w:sz w:val="24"/>
                <w14:textFill>
                  <w14:solidFill>
                    <w14:schemeClr w14:val="bg1"/>
                  </w14:solidFill>
                </w14:textFill>
              </w:rPr>
            </w:pPr>
            <w:r>
              <w:rPr>
                <w:rFonts w:hint="eastAsia" w:ascii="微软雅黑" w:hAnsi="微软雅黑" w:eastAsia="微软雅黑"/>
                <w:color w:val="FFFFFF" w:themeColor="background1"/>
                <w:sz w:val="24"/>
                <w14:textFill>
                  <w14:solidFill>
                    <w14:schemeClr w14:val="bg1"/>
                  </w14:solidFill>
                </w14:textFill>
              </w:rPr>
              <w:t>职位</w:t>
            </w:r>
          </w:p>
        </w:tc>
      </w:tr>
      <w:tr>
        <w:tblPrEx>
          <w:tblLayout w:type="fixed"/>
          <w:tblCellMar>
            <w:top w:w="0" w:type="dxa"/>
            <w:left w:w="108" w:type="dxa"/>
            <w:bottom w:w="0" w:type="dxa"/>
            <w:right w:w="108" w:type="dxa"/>
          </w:tblCellMar>
        </w:tblPrEx>
        <w:trPr>
          <w:trHeight w:val="454" w:hRule="atLeast"/>
          <w:jc w:val="center"/>
        </w:trPr>
        <w:tc>
          <w:tcPr>
            <w:tcW w:w="1567" w:type="dxa"/>
            <w:tcBorders>
              <w:top w:val="dotted" w:color="BEBEBE" w:sz="4" w:space="0"/>
              <w:left w:val="dotted" w:color="BEBEBE" w:sz="4" w:space="0"/>
              <w:bottom w:val="dotted" w:color="BEBEBE" w:sz="4" w:space="0"/>
              <w:right w:val="dotted" w:color="BEBEBE" w:sz="4" w:space="0"/>
            </w:tcBorders>
            <w:shd w:val="clear" w:color="auto" w:fill="auto"/>
            <w:vAlign w:val="center"/>
          </w:tcPr>
          <w:p>
            <w:pPr>
              <w:jc w:val="center"/>
              <w:rPr>
                <w:rFonts w:ascii="微软雅黑" w:hAnsi="微软雅黑" w:eastAsia="微软雅黑"/>
                <w:color w:val="000000"/>
                <w:sz w:val="24"/>
              </w:rPr>
            </w:pPr>
            <w:r>
              <w:rPr>
                <w:rFonts w:hint="eastAsia" w:ascii="微软雅黑" w:hAnsi="微软雅黑" w:eastAsia="微软雅黑"/>
                <w:color w:val="000000"/>
                <w:sz w:val="24"/>
              </w:rPr>
              <w:t>1</w:t>
            </w:r>
          </w:p>
        </w:tc>
        <w:tc>
          <w:tcPr>
            <w:tcW w:w="959"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038"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947"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110"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472"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r>
      <w:tr>
        <w:tblPrEx>
          <w:tblLayout w:type="fixed"/>
          <w:tblCellMar>
            <w:top w:w="0" w:type="dxa"/>
            <w:left w:w="108" w:type="dxa"/>
            <w:bottom w:w="0" w:type="dxa"/>
            <w:right w:w="108" w:type="dxa"/>
          </w:tblCellMar>
        </w:tblPrEx>
        <w:trPr>
          <w:trHeight w:val="454" w:hRule="atLeast"/>
          <w:jc w:val="center"/>
        </w:trPr>
        <w:tc>
          <w:tcPr>
            <w:tcW w:w="1567" w:type="dxa"/>
            <w:tcBorders>
              <w:top w:val="dotted" w:color="BEBEBE" w:sz="4" w:space="0"/>
              <w:left w:val="dotted" w:color="BEBEBE" w:sz="4" w:space="0"/>
              <w:bottom w:val="dotted" w:color="BEBEBE" w:sz="4" w:space="0"/>
              <w:right w:val="dotted" w:color="BEBEBE" w:sz="4" w:space="0"/>
            </w:tcBorders>
            <w:shd w:val="clear" w:color="auto" w:fill="auto"/>
            <w:vAlign w:val="center"/>
          </w:tcPr>
          <w:p>
            <w:pPr>
              <w:jc w:val="center"/>
              <w:rPr>
                <w:rFonts w:ascii="微软雅黑" w:hAnsi="微软雅黑" w:eastAsia="微软雅黑"/>
                <w:color w:val="000000"/>
                <w:sz w:val="24"/>
              </w:rPr>
            </w:pPr>
            <w:r>
              <w:rPr>
                <w:rFonts w:hint="eastAsia" w:ascii="微软雅黑" w:hAnsi="微软雅黑" w:eastAsia="微软雅黑"/>
                <w:color w:val="000000"/>
                <w:sz w:val="24"/>
              </w:rPr>
              <w:t>2</w:t>
            </w:r>
          </w:p>
        </w:tc>
        <w:tc>
          <w:tcPr>
            <w:tcW w:w="959"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038"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947"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110"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472"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r>
      <w:tr>
        <w:tblPrEx>
          <w:tblLayout w:type="fixed"/>
          <w:tblCellMar>
            <w:top w:w="0" w:type="dxa"/>
            <w:left w:w="108" w:type="dxa"/>
            <w:bottom w:w="0" w:type="dxa"/>
            <w:right w:w="108" w:type="dxa"/>
          </w:tblCellMar>
        </w:tblPrEx>
        <w:trPr>
          <w:trHeight w:val="454" w:hRule="atLeast"/>
          <w:jc w:val="center"/>
        </w:trPr>
        <w:tc>
          <w:tcPr>
            <w:tcW w:w="1567" w:type="dxa"/>
            <w:tcBorders>
              <w:top w:val="dotted" w:color="BEBEBE" w:sz="4" w:space="0"/>
              <w:left w:val="dotted" w:color="BEBEBE" w:sz="4" w:space="0"/>
              <w:bottom w:val="dotted" w:color="BEBEBE" w:sz="4" w:space="0"/>
              <w:right w:val="dotted" w:color="BEBEBE" w:sz="4" w:space="0"/>
            </w:tcBorders>
            <w:shd w:val="clear" w:color="auto" w:fill="auto"/>
            <w:vAlign w:val="center"/>
          </w:tcPr>
          <w:p>
            <w:pPr>
              <w:jc w:val="center"/>
              <w:rPr>
                <w:rFonts w:ascii="微软雅黑" w:hAnsi="微软雅黑" w:eastAsia="微软雅黑"/>
                <w:color w:val="000000"/>
                <w:sz w:val="24"/>
              </w:rPr>
            </w:pPr>
            <w:r>
              <w:rPr>
                <w:rFonts w:hint="eastAsia" w:ascii="微软雅黑" w:hAnsi="微软雅黑" w:eastAsia="微软雅黑"/>
                <w:color w:val="000000"/>
                <w:sz w:val="24"/>
              </w:rPr>
              <w:t>3</w:t>
            </w:r>
          </w:p>
        </w:tc>
        <w:tc>
          <w:tcPr>
            <w:tcW w:w="959"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038"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947"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110"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472"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r>
      <w:tr>
        <w:tblPrEx>
          <w:tblLayout w:type="fixed"/>
          <w:tblCellMar>
            <w:top w:w="0" w:type="dxa"/>
            <w:left w:w="108" w:type="dxa"/>
            <w:bottom w:w="0" w:type="dxa"/>
            <w:right w:w="108" w:type="dxa"/>
          </w:tblCellMar>
        </w:tblPrEx>
        <w:trPr>
          <w:trHeight w:val="454" w:hRule="atLeast"/>
          <w:jc w:val="center"/>
        </w:trPr>
        <w:tc>
          <w:tcPr>
            <w:tcW w:w="1567" w:type="dxa"/>
            <w:tcBorders>
              <w:top w:val="dotted" w:color="BEBEBE" w:sz="4" w:space="0"/>
              <w:left w:val="dotted" w:color="BEBEBE" w:sz="4" w:space="0"/>
              <w:bottom w:val="dotted" w:color="BEBEBE" w:sz="4" w:space="0"/>
              <w:right w:val="dotted" w:color="BEBEBE" w:sz="4" w:space="0"/>
            </w:tcBorders>
            <w:shd w:val="clear" w:color="auto" w:fill="auto"/>
            <w:vAlign w:val="center"/>
          </w:tcPr>
          <w:p>
            <w:pPr>
              <w:jc w:val="center"/>
              <w:rPr>
                <w:rFonts w:ascii="微软雅黑" w:hAnsi="微软雅黑" w:eastAsia="微软雅黑"/>
                <w:color w:val="000000"/>
                <w:sz w:val="24"/>
              </w:rPr>
            </w:pPr>
            <w:r>
              <w:rPr>
                <w:rFonts w:hint="eastAsia" w:ascii="微软雅黑" w:hAnsi="微软雅黑" w:eastAsia="微软雅黑"/>
                <w:color w:val="000000"/>
                <w:sz w:val="24"/>
              </w:rPr>
              <w:t>4</w:t>
            </w:r>
          </w:p>
        </w:tc>
        <w:tc>
          <w:tcPr>
            <w:tcW w:w="959"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038"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947"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110"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472"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r>
      <w:tr>
        <w:tblPrEx>
          <w:tblLayout w:type="fixed"/>
          <w:tblCellMar>
            <w:top w:w="0" w:type="dxa"/>
            <w:left w:w="108" w:type="dxa"/>
            <w:bottom w:w="0" w:type="dxa"/>
            <w:right w:w="108" w:type="dxa"/>
          </w:tblCellMar>
        </w:tblPrEx>
        <w:trPr>
          <w:trHeight w:val="454" w:hRule="atLeast"/>
          <w:jc w:val="center"/>
        </w:trPr>
        <w:tc>
          <w:tcPr>
            <w:tcW w:w="1567" w:type="dxa"/>
            <w:tcBorders>
              <w:top w:val="dotted" w:color="BEBEBE" w:sz="4" w:space="0"/>
              <w:left w:val="dotted" w:color="BEBEBE" w:sz="4" w:space="0"/>
              <w:bottom w:val="dotted" w:color="BEBEBE" w:sz="4" w:space="0"/>
              <w:right w:val="dotted" w:color="BEBEBE" w:sz="4" w:space="0"/>
            </w:tcBorders>
            <w:shd w:val="clear" w:color="auto" w:fill="auto"/>
            <w:vAlign w:val="center"/>
          </w:tcPr>
          <w:p>
            <w:pPr>
              <w:jc w:val="center"/>
              <w:rPr>
                <w:rFonts w:ascii="微软雅黑" w:hAnsi="微软雅黑" w:eastAsia="微软雅黑"/>
                <w:color w:val="000000"/>
                <w:sz w:val="24"/>
              </w:rPr>
            </w:pPr>
            <w:r>
              <w:rPr>
                <w:rFonts w:hint="eastAsia" w:ascii="微软雅黑" w:hAnsi="微软雅黑" w:eastAsia="微软雅黑"/>
                <w:color w:val="000000"/>
                <w:sz w:val="24"/>
              </w:rPr>
              <w:t>5</w:t>
            </w:r>
          </w:p>
        </w:tc>
        <w:tc>
          <w:tcPr>
            <w:tcW w:w="959"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038"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947"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110"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472"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r>
      <w:tr>
        <w:tblPrEx>
          <w:tblLayout w:type="fixed"/>
          <w:tblCellMar>
            <w:top w:w="0" w:type="dxa"/>
            <w:left w:w="108" w:type="dxa"/>
            <w:bottom w:w="0" w:type="dxa"/>
            <w:right w:w="108" w:type="dxa"/>
          </w:tblCellMar>
        </w:tblPrEx>
        <w:trPr>
          <w:trHeight w:val="536"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7E7E7E" w:themeFill="background1" w:themeFillShade="7F"/>
            <w:vAlign w:val="center"/>
          </w:tcPr>
          <w:p>
            <w:pPr>
              <w:adjustRightInd w:val="0"/>
              <w:snapToGrid w:val="0"/>
              <w:jc w:val="center"/>
              <w:rPr>
                <w:rFonts w:ascii="微软雅黑" w:hAnsi="微软雅黑" w:eastAsia="微软雅黑"/>
                <w:color w:val="000000"/>
                <w:sz w:val="24"/>
              </w:rPr>
            </w:pPr>
            <w:r>
              <w:rPr>
                <w:rFonts w:hint="eastAsia" w:ascii="微软雅黑" w:hAnsi="微软雅黑" w:eastAsia="微软雅黑"/>
                <w:color w:val="FFFFFF" w:themeColor="background1"/>
                <w:sz w:val="24"/>
                <w14:textFill>
                  <w14:solidFill>
                    <w14:schemeClr w14:val="bg1"/>
                  </w14:solidFill>
                </w14:textFill>
              </w:rPr>
              <w:t>对接人信息</w:t>
            </w:r>
          </w:p>
        </w:tc>
      </w:tr>
      <w:tr>
        <w:tblPrEx>
          <w:tblLayout w:type="fixed"/>
          <w:tblCellMar>
            <w:top w:w="0" w:type="dxa"/>
            <w:left w:w="108" w:type="dxa"/>
            <w:bottom w:w="0" w:type="dxa"/>
            <w:right w:w="108" w:type="dxa"/>
          </w:tblCellMar>
        </w:tblPrEx>
        <w:trPr>
          <w:trHeight w:val="1185"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auto"/>
            <w:vAlign w:val="center"/>
          </w:tcPr>
          <w:p>
            <w:pPr>
              <w:adjustRightInd w:val="0"/>
              <w:snapToGrid w:val="0"/>
              <w:rPr>
                <w:rFonts w:ascii="微软雅黑" w:hAnsi="微软雅黑" w:eastAsia="微软雅黑"/>
                <w:color w:val="000000"/>
                <w:sz w:val="24"/>
              </w:rPr>
            </w:pPr>
            <w:r>
              <w:rPr>
                <w:rFonts w:ascii="微软雅黑" w:hAnsi="微软雅黑" w:eastAsia="微软雅黑"/>
                <w:color w:val="000000"/>
                <w:sz w:val="24"/>
              </w:rPr>
              <w:t xml:space="preserve">姓名：      </w:t>
            </w:r>
            <w:r>
              <w:rPr>
                <w:rFonts w:hint="eastAsia" w:ascii="微软雅黑" w:hAnsi="微软雅黑" w:eastAsia="微软雅黑"/>
                <w:color w:val="000000"/>
                <w:sz w:val="24"/>
              </w:rPr>
              <w:t xml:space="preserve">                       手机</w:t>
            </w:r>
            <w:r>
              <w:rPr>
                <w:rFonts w:ascii="微软雅黑" w:hAnsi="微软雅黑" w:eastAsia="微软雅黑"/>
                <w:color w:val="000000"/>
                <w:sz w:val="24"/>
              </w:rPr>
              <w:t xml:space="preserve">号码：           </w:t>
            </w:r>
          </w:p>
          <w:p>
            <w:pPr>
              <w:adjustRightInd w:val="0"/>
              <w:snapToGrid w:val="0"/>
              <w:rPr>
                <w:rFonts w:ascii="微软雅黑" w:hAnsi="微软雅黑" w:eastAsia="微软雅黑"/>
                <w:color w:val="000000"/>
                <w:sz w:val="24"/>
              </w:rPr>
            </w:pPr>
            <w:r>
              <w:rPr>
                <w:rFonts w:hint="eastAsia" w:ascii="微软雅黑" w:hAnsi="微软雅黑" w:eastAsia="微软雅黑"/>
                <w:color w:val="000000"/>
                <w:sz w:val="24"/>
              </w:rPr>
              <w:t>邮箱</w:t>
            </w:r>
            <w:r>
              <w:rPr>
                <w:rFonts w:ascii="微软雅黑" w:hAnsi="微软雅黑" w:eastAsia="微软雅黑"/>
                <w:color w:val="000000"/>
                <w:sz w:val="24"/>
              </w:rPr>
              <w:t xml:space="preserve">：            </w:t>
            </w:r>
            <w:r>
              <w:rPr>
                <w:rFonts w:hint="eastAsia" w:ascii="微软雅黑" w:hAnsi="微软雅黑" w:eastAsia="微软雅黑"/>
                <w:color w:val="000000"/>
                <w:sz w:val="24"/>
              </w:rPr>
              <w:t xml:space="preserve">                 职位</w:t>
            </w:r>
            <w:r>
              <w:rPr>
                <w:rFonts w:ascii="微软雅黑" w:hAnsi="微软雅黑" w:eastAsia="微软雅黑"/>
                <w:color w:val="000000"/>
                <w:sz w:val="24"/>
              </w:rPr>
              <w:t>：</w:t>
            </w:r>
          </w:p>
        </w:tc>
      </w:tr>
      <w:tr>
        <w:tblPrEx>
          <w:tblLayout w:type="fixed"/>
          <w:tblCellMar>
            <w:top w:w="0" w:type="dxa"/>
            <w:left w:w="108" w:type="dxa"/>
            <w:bottom w:w="0" w:type="dxa"/>
            <w:right w:w="108" w:type="dxa"/>
          </w:tblCellMar>
        </w:tblPrEx>
        <w:trPr>
          <w:trHeight w:val="1065"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7E7E7E"/>
            <w:vAlign w:val="center"/>
          </w:tcPr>
          <w:p>
            <w:pPr>
              <w:jc w:val="center"/>
              <w:rPr>
                <w:rFonts w:hint="eastAsia" w:ascii="微软雅黑" w:hAnsi="微软雅黑" w:eastAsia="微软雅黑"/>
                <w:color w:val="FFFFFF" w:themeColor="background1"/>
                <w:sz w:val="24"/>
                <w:lang w:eastAsia="zh-CN"/>
                <w14:textFill>
                  <w14:solidFill>
                    <w14:schemeClr w14:val="bg1"/>
                  </w14:solidFill>
                </w14:textFill>
              </w:rPr>
            </w:pPr>
            <w:r>
              <w:rPr>
                <w:rFonts w:hint="eastAsia" w:ascii="微软雅黑" w:hAnsi="微软雅黑" w:eastAsia="微软雅黑"/>
                <w:color w:val="FFFFFF" w:themeColor="background1"/>
                <w:sz w:val="24"/>
                <w14:textFill>
                  <w14:solidFill>
                    <w14:schemeClr w14:val="bg1"/>
                  </w14:solidFill>
                </w14:textFill>
              </w:rPr>
              <w:t>公司</w:t>
            </w:r>
            <w:r>
              <w:rPr>
                <w:rFonts w:hint="eastAsia" w:ascii="微软雅黑" w:hAnsi="微软雅黑" w:eastAsia="微软雅黑"/>
                <w:color w:val="FFFFFF" w:themeColor="background1"/>
                <w:sz w:val="24"/>
                <w:lang w:eastAsia="zh-CN"/>
                <w14:textFill>
                  <w14:solidFill>
                    <w14:schemeClr w14:val="bg1"/>
                  </w14:solidFill>
                </w14:textFill>
              </w:rPr>
              <w:t>开票</w:t>
            </w:r>
          </w:p>
          <w:p>
            <w:pPr>
              <w:jc w:val="center"/>
              <w:rPr>
                <w:rFonts w:hint="eastAsia" w:ascii="微软雅黑" w:hAnsi="微软雅黑" w:eastAsia="微软雅黑"/>
                <w:color w:val="000000"/>
                <w:sz w:val="24"/>
              </w:rPr>
            </w:pPr>
            <w:r>
              <w:rPr>
                <w:rFonts w:hint="eastAsia" w:ascii="微软雅黑" w:hAnsi="微软雅黑" w:eastAsia="微软雅黑"/>
                <w:color w:val="FFFFFF" w:themeColor="background1"/>
                <w:sz w:val="24"/>
                <w14:textFill>
                  <w14:solidFill>
                    <w14:schemeClr w14:val="bg1"/>
                  </w14:solidFill>
                </w14:textFill>
              </w:rPr>
              <w:t>（发票抬头及税号</w:t>
            </w:r>
            <w:r>
              <w:rPr>
                <w:rFonts w:hint="eastAsia" w:ascii="微软雅黑" w:hAnsi="微软雅黑" w:eastAsia="微软雅黑"/>
                <w:b/>
                <w:color w:val="FFFFFF" w:themeColor="background1"/>
                <w:sz w:val="24"/>
                <w14:textFill>
                  <w14:solidFill>
                    <w14:schemeClr w14:val="bg1"/>
                  </w14:solidFill>
                </w14:textFill>
              </w:rPr>
              <w:t>必填</w:t>
            </w:r>
            <w:r>
              <w:rPr>
                <w:rFonts w:hint="eastAsia" w:ascii="微软雅黑" w:hAnsi="微软雅黑" w:eastAsia="微软雅黑"/>
                <w:color w:val="FFFFFF" w:themeColor="background1"/>
                <w:sz w:val="24"/>
                <w14:textFill>
                  <w14:solidFill>
                    <w14:schemeClr w14:val="bg1"/>
                  </w14:solidFill>
                </w14:textFill>
              </w:rPr>
              <w:t>，如需开具增值税</w:t>
            </w:r>
            <w:r>
              <w:rPr>
                <w:rFonts w:hint="eastAsia" w:ascii="微软雅黑" w:hAnsi="微软雅黑" w:eastAsia="微软雅黑"/>
                <w:b/>
                <w:color w:val="FFFFFF" w:themeColor="background1"/>
                <w:sz w:val="24"/>
                <w14:textFill>
                  <w14:solidFill>
                    <w14:schemeClr w14:val="bg1"/>
                  </w14:solidFill>
                </w14:textFill>
              </w:rPr>
              <w:t>专用</w:t>
            </w:r>
            <w:r>
              <w:rPr>
                <w:rFonts w:hint="eastAsia" w:ascii="微软雅黑" w:hAnsi="微软雅黑" w:eastAsia="微软雅黑"/>
                <w:color w:val="FFFFFF" w:themeColor="background1"/>
                <w:sz w:val="24"/>
                <w14:textFill>
                  <w14:solidFill>
                    <w14:schemeClr w14:val="bg1"/>
                  </w14:solidFill>
                </w14:textFill>
              </w:rPr>
              <w:t>发票请提供详细开票信息）</w:t>
            </w:r>
          </w:p>
        </w:tc>
      </w:tr>
      <w:tr>
        <w:tblPrEx>
          <w:tblLayout w:type="fixed"/>
          <w:tblCellMar>
            <w:top w:w="0" w:type="dxa"/>
            <w:left w:w="108" w:type="dxa"/>
            <w:bottom w:w="0" w:type="dxa"/>
            <w:right w:w="108" w:type="dxa"/>
          </w:tblCellMar>
        </w:tblPrEx>
        <w:trPr>
          <w:trHeight w:val="1924"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auto"/>
            <w:vAlign w:val="center"/>
          </w:tcPr>
          <w:p>
            <w:pPr>
              <w:jc w:val="both"/>
              <w:rPr>
                <w:rFonts w:hint="eastAsia" w:ascii="微软雅黑" w:hAnsi="微软雅黑" w:eastAsia="微软雅黑"/>
                <w:color w:val="000000"/>
                <w:sz w:val="24"/>
              </w:rPr>
            </w:pPr>
          </w:p>
        </w:tc>
      </w:tr>
      <w:tr>
        <w:tblPrEx>
          <w:tblLayout w:type="fixed"/>
          <w:tblCellMar>
            <w:top w:w="0" w:type="dxa"/>
            <w:left w:w="108" w:type="dxa"/>
            <w:bottom w:w="0" w:type="dxa"/>
            <w:right w:w="108" w:type="dxa"/>
          </w:tblCellMar>
        </w:tblPrEx>
        <w:trPr>
          <w:trHeight w:val="723"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auto"/>
            <w:vAlign w:val="center"/>
          </w:tcPr>
          <w:p>
            <w:pPr>
              <w:jc w:val="left"/>
              <w:rPr>
                <w:rFonts w:hint="eastAsia" w:ascii="微软雅黑" w:hAnsi="微软雅黑" w:eastAsia="微软雅黑"/>
                <w:color w:val="000000"/>
                <w:sz w:val="24"/>
                <w:lang w:eastAsia="zh-CN"/>
              </w:rPr>
            </w:pPr>
            <w:r>
              <w:rPr>
                <w:rFonts w:hint="eastAsia" w:ascii="微软雅黑" w:hAnsi="微软雅黑" w:eastAsia="微软雅黑"/>
                <w:color w:val="000000"/>
                <w:sz w:val="24"/>
                <w:lang w:eastAsia="zh-CN"/>
              </w:rPr>
              <w:t>合作流程：顾问服务——支付汇款——填写信息——公司开票——现场服务</w:t>
            </w:r>
          </w:p>
        </w:tc>
      </w:tr>
    </w:tbl>
    <w:p>
      <w:pPr>
        <w:rPr>
          <w:rFonts w:ascii="微软雅黑" w:hAnsi="微软雅黑" w:eastAsia="微软雅黑" w:cs="微软雅黑"/>
          <w:b/>
          <w:color w:val="0070C0"/>
          <w:sz w:val="24"/>
          <w:szCs w:val="24"/>
        </w:rPr>
      </w:pPr>
    </w:p>
    <w:p>
      <w:pPr>
        <w:spacing w:line="320" w:lineRule="exact"/>
        <w:rPr>
          <w:rFonts w:ascii="微软雅黑" w:hAnsi="微软雅黑" w:eastAsia="微软雅黑" w:cs="微软雅黑"/>
          <w:b/>
          <w:bCs/>
          <w:color w:val="C00000"/>
          <w:sz w:val="28"/>
          <w:szCs w:val="28"/>
        </w:rPr>
      </w:pPr>
      <w:r>
        <w:rPr>
          <w:rFonts w:hint="eastAsia" w:ascii="微软雅黑" w:hAnsi="微软雅黑" w:eastAsia="微软雅黑" w:cs="微软雅黑"/>
          <w:b/>
          <w:bCs/>
          <w:color w:val="C00000"/>
          <w:sz w:val="28"/>
          <w:szCs w:val="28"/>
        </w:rPr>
        <w:t>| 关于乔诺商学院</w:t>
      </w:r>
    </w:p>
    <w:p>
      <w:pPr>
        <w:spacing w:line="400" w:lineRule="exact"/>
        <w:rPr>
          <w:rFonts w:ascii="微软雅黑" w:hAnsi="微软雅黑" w:eastAsia="微软雅黑"/>
          <w:color w:val="000000"/>
          <w:szCs w:val="21"/>
        </w:rPr>
      </w:pPr>
      <w:r>
        <mc:AlternateContent>
          <mc:Choice Requires="wps">
            <w:drawing>
              <wp:anchor distT="0" distB="0" distL="114300" distR="114300" simplePos="0" relativeHeight="710865920" behindDoc="0" locked="0" layoutInCell="1" allowOverlap="1">
                <wp:simplePos x="0" y="0"/>
                <wp:positionH relativeFrom="column">
                  <wp:posOffset>-454025</wp:posOffset>
                </wp:positionH>
                <wp:positionV relativeFrom="paragraph">
                  <wp:posOffset>209550</wp:posOffset>
                </wp:positionV>
                <wp:extent cx="6344920" cy="2882265"/>
                <wp:effectExtent l="0" t="0" r="0" b="0"/>
                <wp:wrapNone/>
                <wp:docPr id="157" name="文本框 157"/>
                <wp:cNvGraphicFramePr/>
                <a:graphic xmlns:a="http://schemas.openxmlformats.org/drawingml/2006/main">
                  <a:graphicData uri="http://schemas.microsoft.com/office/word/2010/wordprocessingShape">
                    <wps:wsp>
                      <wps:cNvSpPr txBox="1"/>
                      <wps:spPr>
                        <a:xfrm>
                          <a:off x="513715" y="1363345"/>
                          <a:ext cx="6344920" cy="2882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exact"/>
                              <w:rPr>
                                <w:rFonts w:ascii="微软雅黑" w:hAnsi="微软雅黑" w:eastAsia="微软雅黑" w:cs="微软雅黑"/>
                              </w:rPr>
                            </w:pPr>
                            <w:r>
                              <w:rPr>
                                <w:rFonts w:hint="eastAsia" w:ascii="微软雅黑" w:hAnsi="微软雅黑" w:eastAsia="微软雅黑" w:cs="微软雅黑"/>
                              </w:rPr>
                              <w:t xml:space="preserve">    成立于2009年2月，以成就下一个行业领导者为使命，为中国主流企业提供管理培训与咨询服务，聚焦于企业发展过程中战略管理、流程变革、人力资源、财经变革等核心命题。</w:t>
                            </w:r>
                          </w:p>
                          <w:p>
                            <w:pPr>
                              <w:spacing w:line="360" w:lineRule="exact"/>
                              <w:rPr>
                                <w:rFonts w:ascii="微软雅黑" w:hAnsi="微软雅黑" w:eastAsia="微软雅黑" w:cs="微软雅黑"/>
                              </w:rPr>
                            </w:pPr>
                          </w:p>
                          <w:p>
                            <w:pPr>
                              <w:spacing w:line="360" w:lineRule="exact"/>
                              <w:ind w:firstLine="420"/>
                              <w:rPr>
                                <w:rFonts w:ascii="微软雅黑" w:hAnsi="微软雅黑" w:eastAsia="微软雅黑" w:cs="微软雅黑"/>
                              </w:rPr>
                            </w:pPr>
                            <w:r>
                              <w:rPr>
                                <w:rFonts w:hint="eastAsia" w:ascii="微软雅黑" w:hAnsi="微软雅黑" w:eastAsia="微软雅黑" w:cs="微软雅黑"/>
                              </w:rPr>
                              <w:t>乔诺商学院整合各细分领域最佳专家团队针对企业成为行业领导者的关键管理挑战开发核心培训课程与咨询服务内容，通过标杆考察、论坛、精品公开课、内训与咨询等多种服务形式支持企业打造“以客户为中心、以奋斗者为本”的管理体系，帮助企业实现“用规则的确定性来应对结果的不确定性”。</w:t>
                            </w:r>
                          </w:p>
                          <w:p>
                            <w:pPr>
                              <w:spacing w:line="360" w:lineRule="exact"/>
                              <w:ind w:firstLine="420"/>
                              <w:rPr>
                                <w:rFonts w:ascii="微软雅黑" w:hAnsi="微软雅黑" w:eastAsia="微软雅黑" w:cs="微软雅黑"/>
                              </w:rPr>
                            </w:pPr>
                          </w:p>
                          <w:p>
                            <w:pPr>
                              <w:spacing w:line="360" w:lineRule="exact"/>
                              <w:ind w:firstLine="480" w:firstLineChars="200"/>
                              <w:rPr>
                                <w:rFonts w:ascii="微软雅黑" w:hAnsi="微软雅黑" w:eastAsia="微软雅黑" w:cs="微软雅黑"/>
                                <w:b/>
                                <w:bCs/>
                                <w:sz w:val="22"/>
                                <w:szCs w:val="28"/>
                              </w:rPr>
                            </w:pPr>
                            <w:r>
                              <w:rPr>
                                <w:rFonts w:hint="eastAsia" w:ascii="微软雅黑" w:hAnsi="微软雅黑" w:eastAsia="微软雅黑" w:cs="微软雅黑"/>
                                <w:b/>
                                <w:bCs/>
                                <w:color w:val="C00000"/>
                                <w:sz w:val="24"/>
                                <w:szCs w:val="32"/>
                                <w:lang w:eastAsia="zh-CN"/>
                              </w:rPr>
                              <w:t>愿</w:t>
                            </w:r>
                            <w:r>
                              <w:rPr>
                                <w:rFonts w:hint="eastAsia" w:ascii="微软雅黑" w:hAnsi="微软雅黑" w:eastAsia="微软雅黑" w:cs="微软雅黑"/>
                                <w:b/>
                                <w:bCs/>
                                <w:color w:val="C00000"/>
                                <w:sz w:val="24"/>
                                <w:szCs w:val="32"/>
                              </w:rPr>
                              <w:t xml:space="preserve">   </w:t>
                            </w:r>
                            <w:r>
                              <w:rPr>
                                <w:rFonts w:hint="eastAsia" w:ascii="微软雅黑" w:hAnsi="微软雅黑" w:eastAsia="微软雅黑" w:cs="微软雅黑"/>
                                <w:b/>
                                <w:bCs/>
                                <w:color w:val="C00000"/>
                                <w:sz w:val="24"/>
                                <w:szCs w:val="32"/>
                                <w:lang w:eastAsia="zh-CN"/>
                              </w:rPr>
                              <w:t>景</w:t>
                            </w:r>
                            <w:r>
                              <w:rPr>
                                <w:rFonts w:hint="eastAsia" w:ascii="微软雅黑" w:hAnsi="微软雅黑" w:eastAsia="微软雅黑" w:cs="微软雅黑"/>
                                <w:b/>
                                <w:bCs/>
                                <w:color w:val="C00000"/>
                                <w:sz w:val="24"/>
                                <w:szCs w:val="32"/>
                              </w:rPr>
                              <w:t>：</w:t>
                            </w:r>
                            <w:r>
                              <w:rPr>
                                <w:rFonts w:hint="eastAsia" w:ascii="微软雅黑" w:hAnsi="微软雅黑" w:eastAsia="微软雅黑" w:cs="微软雅黑"/>
                                <w:b/>
                                <w:bCs/>
                                <w:sz w:val="22"/>
                                <w:szCs w:val="28"/>
                              </w:rPr>
                              <w:t>成就下一个行业领导者</w:t>
                            </w:r>
                          </w:p>
                          <w:p>
                            <w:pPr>
                              <w:spacing w:line="360" w:lineRule="exact"/>
                              <w:rPr>
                                <w:rFonts w:ascii="微软雅黑" w:hAnsi="微软雅黑" w:eastAsia="微软雅黑" w:cs="微软雅黑"/>
                                <w:b/>
                                <w:bCs/>
                                <w:color w:val="C00000"/>
                                <w:sz w:val="22"/>
                                <w:szCs w:val="28"/>
                              </w:rPr>
                            </w:pPr>
                          </w:p>
                          <w:p>
                            <w:pPr>
                              <w:spacing w:line="360" w:lineRule="exact"/>
                              <w:ind w:firstLine="480" w:firstLineChars="200"/>
                              <w:rPr>
                                <w:rFonts w:ascii="微软雅黑" w:hAnsi="微软雅黑" w:eastAsia="微软雅黑" w:cs="微软雅黑"/>
                                <w:b/>
                                <w:bCs/>
                                <w:sz w:val="22"/>
                                <w:szCs w:val="28"/>
                              </w:rPr>
                            </w:pPr>
                            <w:r>
                              <w:rPr>
                                <w:rFonts w:hint="eastAsia" w:ascii="微软雅黑" w:hAnsi="微软雅黑" w:eastAsia="微软雅黑" w:cs="微软雅黑"/>
                                <w:b/>
                                <w:bCs/>
                                <w:color w:val="C00000"/>
                                <w:sz w:val="24"/>
                                <w:szCs w:val="32"/>
                                <w:lang w:eastAsia="zh-CN"/>
                              </w:rPr>
                              <w:t>使</w:t>
                            </w:r>
                            <w:r>
                              <w:rPr>
                                <w:rFonts w:hint="eastAsia" w:ascii="微软雅黑" w:hAnsi="微软雅黑" w:eastAsia="微软雅黑" w:cs="微软雅黑"/>
                                <w:b/>
                                <w:bCs/>
                                <w:color w:val="C00000"/>
                                <w:sz w:val="24"/>
                                <w:szCs w:val="32"/>
                              </w:rPr>
                              <w:t xml:space="preserve">   </w:t>
                            </w:r>
                            <w:r>
                              <w:rPr>
                                <w:rFonts w:hint="eastAsia" w:ascii="微软雅黑" w:hAnsi="微软雅黑" w:eastAsia="微软雅黑" w:cs="微软雅黑"/>
                                <w:b/>
                                <w:bCs/>
                                <w:color w:val="C00000"/>
                                <w:sz w:val="24"/>
                                <w:szCs w:val="32"/>
                                <w:lang w:eastAsia="zh-CN"/>
                              </w:rPr>
                              <w:t>命</w:t>
                            </w:r>
                            <w:r>
                              <w:rPr>
                                <w:rFonts w:hint="eastAsia" w:ascii="微软雅黑" w:hAnsi="微软雅黑" w:eastAsia="微软雅黑" w:cs="微软雅黑"/>
                                <w:b/>
                                <w:bCs/>
                                <w:color w:val="C00000"/>
                                <w:sz w:val="24"/>
                                <w:szCs w:val="32"/>
                              </w:rPr>
                              <w:t>：</w:t>
                            </w:r>
                            <w:r>
                              <w:rPr>
                                <w:rFonts w:hint="eastAsia" w:ascii="微软雅黑" w:hAnsi="微软雅黑" w:eastAsia="微软雅黑" w:cs="微软雅黑"/>
                                <w:b/>
                                <w:bCs/>
                                <w:sz w:val="22"/>
                                <w:szCs w:val="28"/>
                              </w:rPr>
                              <w:t>帮助有追求的企业通过管理规则的变革提升经营效能</w:t>
                            </w:r>
                          </w:p>
                          <w:p>
                            <w:pPr>
                              <w:spacing w:line="360" w:lineRule="exact"/>
                              <w:rPr>
                                <w:rFonts w:ascii="微软雅黑" w:hAnsi="微软雅黑" w:eastAsia="微软雅黑" w:cs="微软雅黑"/>
                                <w:b/>
                                <w:bCs/>
                                <w:sz w:val="22"/>
                                <w:szCs w:val="28"/>
                              </w:rPr>
                            </w:pPr>
                          </w:p>
                          <w:p>
                            <w:pPr>
                              <w:spacing w:line="360" w:lineRule="exact"/>
                              <w:ind w:firstLine="480" w:firstLineChars="200"/>
                              <w:rPr>
                                <w:rFonts w:hint="eastAsia" w:ascii="微软雅黑" w:hAnsi="微软雅黑" w:eastAsia="微软雅黑" w:cs="微软雅黑"/>
                                <w:b/>
                                <w:bCs/>
                                <w:sz w:val="22"/>
                                <w:szCs w:val="28"/>
                              </w:rPr>
                            </w:pPr>
                            <w:r>
                              <w:rPr>
                                <w:rFonts w:hint="eastAsia" w:ascii="微软雅黑" w:hAnsi="微软雅黑" w:eastAsia="微软雅黑" w:cs="微软雅黑"/>
                                <w:b/>
                                <w:bCs/>
                                <w:color w:val="C00000"/>
                                <w:sz w:val="24"/>
                                <w:szCs w:val="32"/>
                              </w:rPr>
                              <w:t>价 值 观：</w:t>
                            </w:r>
                            <w:r>
                              <w:rPr>
                                <w:rFonts w:hint="eastAsia" w:ascii="微软雅黑" w:hAnsi="微软雅黑" w:eastAsia="微软雅黑" w:cs="微软雅黑"/>
                                <w:b/>
                                <w:bCs/>
                                <w:sz w:val="22"/>
                                <w:szCs w:val="28"/>
                              </w:rPr>
                              <w:t>聚焦增值、创造可能、开放合作、智本管理</w:t>
                            </w:r>
                          </w:p>
                          <w:p>
                            <w:pPr>
                              <w:spacing w:line="360" w:lineRule="exact"/>
                              <w:rPr>
                                <w:rFonts w:ascii="微软雅黑" w:hAnsi="微软雅黑" w:eastAsia="微软雅黑" w:cs="微软雅黑"/>
                                <w:sz w:val="22"/>
                                <w:szCs w:val="28"/>
                              </w:rPr>
                            </w:pPr>
                          </w:p>
                          <w:p>
                            <w:pPr>
                              <w:spacing w:line="360" w:lineRule="exact"/>
                              <w:rPr>
                                <w:rFonts w:ascii="微软雅黑" w:hAnsi="微软雅黑" w:eastAsia="微软雅黑" w:cs="微软雅黑"/>
                                <w:sz w:val="22"/>
                                <w:szCs w:val="28"/>
                              </w:rPr>
                            </w:pPr>
                          </w:p>
                          <w:p>
                            <w:pPr>
                              <w:spacing w:line="360" w:lineRule="exact"/>
                              <w:ind w:firstLine="420"/>
                              <w:rPr>
                                <w:rFonts w:ascii="微软雅黑" w:hAnsi="微软雅黑" w:eastAsia="微软雅黑" w:cs="微软雅黑"/>
                              </w:rPr>
                            </w:pPr>
                          </w:p>
                          <w:p>
                            <w:pPr>
                              <w:spacing w:line="360" w:lineRule="exact"/>
                              <w:rPr>
                                <w:rFonts w:ascii="微软雅黑" w:hAnsi="微软雅黑" w:eastAsia="微软雅黑" w:cs="微软雅黑"/>
                              </w:rPr>
                            </w:pPr>
                          </w:p>
                          <w:p>
                            <w:pPr>
                              <w:spacing w:line="360" w:lineRule="exact"/>
                              <w:rPr>
                                <w:rFonts w:ascii="微软雅黑" w:hAnsi="微软雅黑" w:eastAsia="微软雅黑" w:cs="微软雅黑"/>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75pt;margin-top:16.5pt;height:226.95pt;width:499.6pt;z-index:710865920;mso-width-relative:page;mso-height-relative:page;" filled="f" stroked="f" coordsize="21600,21600" o:gfxdata="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KkdTj3AAAAAoBAAAPAAAAAAAAAAEAIAAAACIAAABkcnMvZG93bnJldi54bWxQ&#10;SwECFAAUAAAACACHTuJAI+425ywCAAAoBAAADgAAAAAAAAABACAAAAArAQAAZHJzL2Uyb0RvYy54&#10;bWxQSwUGAAAAAAYABgBZAQAAyQUAAAAA&#10;">
                <v:fill on="f" focussize="0,0"/>
                <v:stroke on="f" weight="0.5pt"/>
                <v:imagedata o:title=""/>
                <o:lock v:ext="edit" aspectratio="f"/>
                <v:textbox>
                  <w:txbxContent>
                    <w:p>
                      <w:pPr>
                        <w:spacing w:line="360" w:lineRule="exact"/>
                        <w:rPr>
                          <w:rFonts w:ascii="微软雅黑" w:hAnsi="微软雅黑" w:eastAsia="微软雅黑" w:cs="微软雅黑"/>
                        </w:rPr>
                      </w:pPr>
                      <w:r>
                        <w:rPr>
                          <w:rFonts w:hint="eastAsia" w:ascii="微软雅黑" w:hAnsi="微软雅黑" w:eastAsia="微软雅黑" w:cs="微软雅黑"/>
                        </w:rPr>
                        <w:t xml:space="preserve">    成立于2009年2月，以成就下一个行业领导者为使命，为中国主流企业提供管理培训与咨询服务，聚焦于企业发展过程中战略管理、流程变革、人力资源、财经变革等核心命题。</w:t>
                      </w:r>
                    </w:p>
                    <w:p>
                      <w:pPr>
                        <w:spacing w:line="360" w:lineRule="exact"/>
                        <w:rPr>
                          <w:rFonts w:ascii="微软雅黑" w:hAnsi="微软雅黑" w:eastAsia="微软雅黑" w:cs="微软雅黑"/>
                        </w:rPr>
                      </w:pPr>
                    </w:p>
                    <w:p>
                      <w:pPr>
                        <w:spacing w:line="360" w:lineRule="exact"/>
                        <w:ind w:firstLine="420"/>
                        <w:rPr>
                          <w:rFonts w:ascii="微软雅黑" w:hAnsi="微软雅黑" w:eastAsia="微软雅黑" w:cs="微软雅黑"/>
                        </w:rPr>
                      </w:pPr>
                      <w:r>
                        <w:rPr>
                          <w:rFonts w:hint="eastAsia" w:ascii="微软雅黑" w:hAnsi="微软雅黑" w:eastAsia="微软雅黑" w:cs="微软雅黑"/>
                        </w:rPr>
                        <w:t>乔诺商学院整合各细分领域最佳专家团队针对企业成为行业领导者的关键管理挑战开发核心培训课程与咨询服务内容，通过标杆考察、论坛、精品公开课、内训与咨询等多种服务形式支持企业打造“以客户为中心、以奋斗者为本”的管理体系，帮助企业实现“用规则的确定性来应对结果的不确定性”。</w:t>
                      </w:r>
                    </w:p>
                    <w:p>
                      <w:pPr>
                        <w:spacing w:line="360" w:lineRule="exact"/>
                        <w:ind w:firstLine="420"/>
                        <w:rPr>
                          <w:rFonts w:ascii="微软雅黑" w:hAnsi="微软雅黑" w:eastAsia="微软雅黑" w:cs="微软雅黑"/>
                        </w:rPr>
                      </w:pPr>
                    </w:p>
                    <w:p>
                      <w:pPr>
                        <w:spacing w:line="360" w:lineRule="exact"/>
                        <w:ind w:firstLine="480" w:firstLineChars="200"/>
                        <w:rPr>
                          <w:rFonts w:ascii="微软雅黑" w:hAnsi="微软雅黑" w:eastAsia="微软雅黑" w:cs="微软雅黑"/>
                          <w:b/>
                          <w:bCs/>
                          <w:sz w:val="22"/>
                          <w:szCs w:val="28"/>
                        </w:rPr>
                      </w:pPr>
                      <w:r>
                        <w:rPr>
                          <w:rFonts w:hint="eastAsia" w:ascii="微软雅黑" w:hAnsi="微软雅黑" w:eastAsia="微软雅黑" w:cs="微软雅黑"/>
                          <w:b/>
                          <w:bCs/>
                          <w:color w:val="C00000"/>
                          <w:sz w:val="24"/>
                          <w:szCs w:val="32"/>
                          <w:lang w:eastAsia="zh-CN"/>
                        </w:rPr>
                        <w:t>愿</w:t>
                      </w:r>
                      <w:r>
                        <w:rPr>
                          <w:rFonts w:hint="eastAsia" w:ascii="微软雅黑" w:hAnsi="微软雅黑" w:eastAsia="微软雅黑" w:cs="微软雅黑"/>
                          <w:b/>
                          <w:bCs/>
                          <w:color w:val="C00000"/>
                          <w:sz w:val="24"/>
                          <w:szCs w:val="32"/>
                        </w:rPr>
                        <w:t xml:space="preserve">   </w:t>
                      </w:r>
                      <w:r>
                        <w:rPr>
                          <w:rFonts w:hint="eastAsia" w:ascii="微软雅黑" w:hAnsi="微软雅黑" w:eastAsia="微软雅黑" w:cs="微软雅黑"/>
                          <w:b/>
                          <w:bCs/>
                          <w:color w:val="C00000"/>
                          <w:sz w:val="24"/>
                          <w:szCs w:val="32"/>
                          <w:lang w:eastAsia="zh-CN"/>
                        </w:rPr>
                        <w:t>景</w:t>
                      </w:r>
                      <w:r>
                        <w:rPr>
                          <w:rFonts w:hint="eastAsia" w:ascii="微软雅黑" w:hAnsi="微软雅黑" w:eastAsia="微软雅黑" w:cs="微软雅黑"/>
                          <w:b/>
                          <w:bCs/>
                          <w:color w:val="C00000"/>
                          <w:sz w:val="24"/>
                          <w:szCs w:val="32"/>
                        </w:rPr>
                        <w:t>：</w:t>
                      </w:r>
                      <w:r>
                        <w:rPr>
                          <w:rFonts w:hint="eastAsia" w:ascii="微软雅黑" w:hAnsi="微软雅黑" w:eastAsia="微软雅黑" w:cs="微软雅黑"/>
                          <w:b/>
                          <w:bCs/>
                          <w:sz w:val="22"/>
                          <w:szCs w:val="28"/>
                        </w:rPr>
                        <w:t>成就下一个行业领导者</w:t>
                      </w:r>
                    </w:p>
                    <w:p>
                      <w:pPr>
                        <w:spacing w:line="360" w:lineRule="exact"/>
                        <w:rPr>
                          <w:rFonts w:ascii="微软雅黑" w:hAnsi="微软雅黑" w:eastAsia="微软雅黑" w:cs="微软雅黑"/>
                          <w:b/>
                          <w:bCs/>
                          <w:color w:val="C00000"/>
                          <w:sz w:val="22"/>
                          <w:szCs w:val="28"/>
                        </w:rPr>
                      </w:pPr>
                    </w:p>
                    <w:p>
                      <w:pPr>
                        <w:spacing w:line="360" w:lineRule="exact"/>
                        <w:ind w:firstLine="480" w:firstLineChars="200"/>
                        <w:rPr>
                          <w:rFonts w:ascii="微软雅黑" w:hAnsi="微软雅黑" w:eastAsia="微软雅黑" w:cs="微软雅黑"/>
                          <w:b/>
                          <w:bCs/>
                          <w:sz w:val="22"/>
                          <w:szCs w:val="28"/>
                        </w:rPr>
                      </w:pPr>
                      <w:r>
                        <w:rPr>
                          <w:rFonts w:hint="eastAsia" w:ascii="微软雅黑" w:hAnsi="微软雅黑" w:eastAsia="微软雅黑" w:cs="微软雅黑"/>
                          <w:b/>
                          <w:bCs/>
                          <w:color w:val="C00000"/>
                          <w:sz w:val="24"/>
                          <w:szCs w:val="32"/>
                          <w:lang w:eastAsia="zh-CN"/>
                        </w:rPr>
                        <w:t>使</w:t>
                      </w:r>
                      <w:r>
                        <w:rPr>
                          <w:rFonts w:hint="eastAsia" w:ascii="微软雅黑" w:hAnsi="微软雅黑" w:eastAsia="微软雅黑" w:cs="微软雅黑"/>
                          <w:b/>
                          <w:bCs/>
                          <w:color w:val="C00000"/>
                          <w:sz w:val="24"/>
                          <w:szCs w:val="32"/>
                        </w:rPr>
                        <w:t xml:space="preserve">   </w:t>
                      </w:r>
                      <w:r>
                        <w:rPr>
                          <w:rFonts w:hint="eastAsia" w:ascii="微软雅黑" w:hAnsi="微软雅黑" w:eastAsia="微软雅黑" w:cs="微软雅黑"/>
                          <w:b/>
                          <w:bCs/>
                          <w:color w:val="C00000"/>
                          <w:sz w:val="24"/>
                          <w:szCs w:val="32"/>
                          <w:lang w:eastAsia="zh-CN"/>
                        </w:rPr>
                        <w:t>命</w:t>
                      </w:r>
                      <w:r>
                        <w:rPr>
                          <w:rFonts w:hint="eastAsia" w:ascii="微软雅黑" w:hAnsi="微软雅黑" w:eastAsia="微软雅黑" w:cs="微软雅黑"/>
                          <w:b/>
                          <w:bCs/>
                          <w:color w:val="C00000"/>
                          <w:sz w:val="24"/>
                          <w:szCs w:val="32"/>
                        </w:rPr>
                        <w:t>：</w:t>
                      </w:r>
                      <w:r>
                        <w:rPr>
                          <w:rFonts w:hint="eastAsia" w:ascii="微软雅黑" w:hAnsi="微软雅黑" w:eastAsia="微软雅黑" w:cs="微软雅黑"/>
                          <w:b/>
                          <w:bCs/>
                          <w:sz w:val="22"/>
                          <w:szCs w:val="28"/>
                        </w:rPr>
                        <w:t>帮助有追求的企业通过管理规则的变革提升经营效能</w:t>
                      </w:r>
                    </w:p>
                    <w:p>
                      <w:pPr>
                        <w:spacing w:line="360" w:lineRule="exact"/>
                        <w:rPr>
                          <w:rFonts w:ascii="微软雅黑" w:hAnsi="微软雅黑" w:eastAsia="微软雅黑" w:cs="微软雅黑"/>
                          <w:b/>
                          <w:bCs/>
                          <w:sz w:val="22"/>
                          <w:szCs w:val="28"/>
                        </w:rPr>
                      </w:pPr>
                    </w:p>
                    <w:p>
                      <w:pPr>
                        <w:spacing w:line="360" w:lineRule="exact"/>
                        <w:ind w:firstLine="480" w:firstLineChars="200"/>
                        <w:rPr>
                          <w:rFonts w:hint="eastAsia" w:ascii="微软雅黑" w:hAnsi="微软雅黑" w:eastAsia="微软雅黑" w:cs="微软雅黑"/>
                          <w:b/>
                          <w:bCs/>
                          <w:sz w:val="22"/>
                          <w:szCs w:val="28"/>
                        </w:rPr>
                      </w:pPr>
                      <w:r>
                        <w:rPr>
                          <w:rFonts w:hint="eastAsia" w:ascii="微软雅黑" w:hAnsi="微软雅黑" w:eastAsia="微软雅黑" w:cs="微软雅黑"/>
                          <w:b/>
                          <w:bCs/>
                          <w:color w:val="C00000"/>
                          <w:sz w:val="24"/>
                          <w:szCs w:val="32"/>
                        </w:rPr>
                        <w:t>价 值 观：</w:t>
                      </w:r>
                      <w:r>
                        <w:rPr>
                          <w:rFonts w:hint="eastAsia" w:ascii="微软雅黑" w:hAnsi="微软雅黑" w:eastAsia="微软雅黑" w:cs="微软雅黑"/>
                          <w:b/>
                          <w:bCs/>
                          <w:sz w:val="22"/>
                          <w:szCs w:val="28"/>
                        </w:rPr>
                        <w:t>聚焦增值、创造可能、开放合作、智本管理</w:t>
                      </w:r>
                    </w:p>
                    <w:p>
                      <w:pPr>
                        <w:spacing w:line="360" w:lineRule="exact"/>
                        <w:rPr>
                          <w:rFonts w:ascii="微软雅黑" w:hAnsi="微软雅黑" w:eastAsia="微软雅黑" w:cs="微软雅黑"/>
                          <w:sz w:val="22"/>
                          <w:szCs w:val="28"/>
                        </w:rPr>
                      </w:pPr>
                    </w:p>
                    <w:p>
                      <w:pPr>
                        <w:spacing w:line="360" w:lineRule="exact"/>
                        <w:rPr>
                          <w:rFonts w:ascii="微软雅黑" w:hAnsi="微软雅黑" w:eastAsia="微软雅黑" w:cs="微软雅黑"/>
                          <w:sz w:val="22"/>
                          <w:szCs w:val="28"/>
                        </w:rPr>
                      </w:pPr>
                    </w:p>
                    <w:p>
                      <w:pPr>
                        <w:spacing w:line="360" w:lineRule="exact"/>
                        <w:ind w:firstLine="420"/>
                        <w:rPr>
                          <w:rFonts w:ascii="微软雅黑" w:hAnsi="微软雅黑" w:eastAsia="微软雅黑" w:cs="微软雅黑"/>
                        </w:rPr>
                      </w:pPr>
                    </w:p>
                    <w:p>
                      <w:pPr>
                        <w:spacing w:line="360" w:lineRule="exact"/>
                        <w:rPr>
                          <w:rFonts w:ascii="微软雅黑" w:hAnsi="微软雅黑" w:eastAsia="微软雅黑" w:cs="微软雅黑"/>
                        </w:rPr>
                      </w:pPr>
                    </w:p>
                    <w:p>
                      <w:pPr>
                        <w:spacing w:line="360" w:lineRule="exact"/>
                        <w:rPr>
                          <w:rFonts w:ascii="微软雅黑" w:hAnsi="微软雅黑" w:eastAsia="微软雅黑" w:cs="微软雅黑"/>
                        </w:rPr>
                      </w:pPr>
                    </w:p>
                  </w:txbxContent>
                </v:textbox>
              </v:shape>
            </w:pict>
          </mc:Fallback>
        </mc:AlternateContent>
      </w:r>
    </w:p>
    <w:p>
      <w:pPr>
        <w:spacing w:line="400" w:lineRule="exact"/>
        <w:rPr>
          <w:rFonts w:ascii="微软雅黑" w:hAnsi="微软雅黑" w:eastAsia="微软雅黑"/>
          <w:color w:val="000000"/>
          <w:szCs w:val="21"/>
        </w:rPr>
      </w:pPr>
    </w:p>
    <w:p>
      <w:pPr>
        <w:spacing w:line="320" w:lineRule="exact"/>
        <w:rPr>
          <w:rFonts w:ascii="微软雅黑" w:hAnsi="微软雅黑" w:eastAsia="微软雅黑" w:cs="微软雅黑"/>
          <w:b/>
          <w:bCs/>
          <w:color w:val="C00000"/>
          <w:sz w:val="28"/>
          <w:szCs w:val="28"/>
        </w:rPr>
      </w:pPr>
    </w:p>
    <w:p>
      <w:pPr>
        <w:spacing w:line="320" w:lineRule="exact"/>
        <w:rPr>
          <w:rFonts w:ascii="微软雅黑" w:hAnsi="微软雅黑" w:eastAsia="微软雅黑" w:cs="微软雅黑"/>
          <w:b/>
          <w:bCs/>
          <w:color w:val="C00000"/>
          <w:sz w:val="28"/>
          <w:szCs w:val="28"/>
        </w:rPr>
      </w:pPr>
    </w:p>
    <w:p/>
    <w:p>
      <w:pPr>
        <w:rPr>
          <w:rFonts w:eastAsia="宋体"/>
        </w:rPr>
      </w:pPr>
    </w:p>
    <w:p/>
    <w:p/>
    <w:p/>
    <w:p/>
    <w:p/>
    <w:p/>
    <w:p/>
    <w:p/>
    <w:p/>
    <w:p>
      <w:r>
        <mc:AlternateContent>
          <mc:Choice Requires="wpg">
            <w:drawing>
              <wp:anchor distT="0" distB="0" distL="114300" distR="114300" simplePos="0" relativeHeight="710866944" behindDoc="0" locked="0" layoutInCell="1" allowOverlap="1">
                <wp:simplePos x="0" y="0"/>
                <wp:positionH relativeFrom="column">
                  <wp:posOffset>-270510</wp:posOffset>
                </wp:positionH>
                <wp:positionV relativeFrom="paragraph">
                  <wp:posOffset>195580</wp:posOffset>
                </wp:positionV>
                <wp:extent cx="6174105" cy="2442210"/>
                <wp:effectExtent l="0" t="0" r="17145" b="15240"/>
                <wp:wrapNone/>
                <wp:docPr id="13" name="组合 13"/>
                <wp:cNvGraphicFramePr/>
                <a:graphic xmlns:a="http://schemas.openxmlformats.org/drawingml/2006/main">
                  <a:graphicData uri="http://schemas.microsoft.com/office/word/2010/wordprocessingGroup">
                    <wpg:wgp>
                      <wpg:cNvGrpSpPr/>
                      <wpg:grpSpPr>
                        <a:xfrm>
                          <a:off x="0" y="0"/>
                          <a:ext cx="6174105" cy="2442210"/>
                          <a:chOff x="6899" y="178345"/>
                          <a:chExt cx="9723" cy="3846"/>
                        </a:xfrm>
                      </wpg:grpSpPr>
                      <wps:wsp>
                        <wps:cNvPr id="161" name="文本框 161"/>
                        <wps:cNvSpPr txBox="1"/>
                        <wps:spPr>
                          <a:xfrm>
                            <a:off x="6900" y="178345"/>
                            <a:ext cx="2199" cy="2462"/>
                          </a:xfrm>
                          <a:prstGeom prst="rect">
                            <a:avLst/>
                          </a:prstGeom>
                          <a:solidFill>
                            <a:srgbClr val="0070C0"/>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服务超过</w:t>
                              </w:r>
                              <w:r>
                                <w:rPr>
                                  <w:rFonts w:hint="eastAsia" w:ascii="微软雅黑" w:hAnsi="微软雅黑" w:eastAsia="微软雅黑" w:cs="微软雅黑"/>
                                  <w:b/>
                                  <w:bCs/>
                                  <w:color w:val="FFFFFF" w:themeColor="background1"/>
                                  <w:sz w:val="28"/>
                                  <w:szCs w:val="28"/>
                                  <w14:textFill>
                                    <w14:solidFill>
                                      <w14:schemeClr w14:val="bg1"/>
                                    </w14:solidFill>
                                  </w14:textFill>
                                </w:rPr>
                                <w:t>3000家</w:t>
                              </w:r>
                              <w:r>
                                <w:rPr>
                                  <w:rFonts w:hint="eastAsia" w:ascii="微软雅黑" w:hAnsi="微软雅黑" w:eastAsia="微软雅黑" w:cs="微软雅黑"/>
                                  <w:color w:val="FFFFFF" w:themeColor="background1"/>
                                  <w:sz w:val="20"/>
                                  <w:szCs w:val="20"/>
                                  <w14:textFill>
                                    <w14:solidFill>
                                      <w14:schemeClr w14:val="bg1"/>
                                    </w14:solidFill>
                                  </w14:textFill>
                                </w:rPr>
                                <w:t>中国主流企业，包括汽车行业、通信行业、服饰行业、医药行业、农牧行业、家电行业、新能源、地产建筑等行业领军企业</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 name="文本框 163"/>
                        <wps:cNvSpPr txBox="1"/>
                        <wps:spPr>
                          <a:xfrm>
                            <a:off x="9175" y="179882"/>
                            <a:ext cx="3661" cy="927"/>
                          </a:xfrm>
                          <a:prstGeom prst="rect">
                            <a:avLst/>
                          </a:prstGeom>
                          <a:solidFill>
                            <a:srgbClr val="00B0F0"/>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开设了超过</w:t>
                              </w:r>
                              <w:r>
                                <w:rPr>
                                  <w:rFonts w:hint="eastAsia" w:ascii="微软雅黑" w:hAnsi="微软雅黑" w:eastAsia="微软雅黑" w:cs="微软雅黑"/>
                                  <w:b/>
                                  <w:bCs/>
                                  <w:color w:val="FFFFFF" w:themeColor="background1"/>
                                  <w:sz w:val="28"/>
                                  <w:szCs w:val="28"/>
                                  <w14:textFill>
                                    <w14:solidFill>
                                      <w14:schemeClr w14:val="bg1"/>
                                    </w14:solidFill>
                                  </w14:textFill>
                                </w:rPr>
                                <w:t>2000场</w:t>
                              </w:r>
                              <w:r>
                                <w:rPr>
                                  <w:rFonts w:hint="eastAsia" w:ascii="微软雅黑" w:hAnsi="微软雅黑" w:eastAsia="微软雅黑" w:cs="微软雅黑"/>
                                  <w:color w:val="FFFFFF" w:themeColor="background1"/>
                                  <w:sz w:val="20"/>
                                  <w:szCs w:val="20"/>
                                  <w14:textFill>
                                    <w14:solidFill>
                                      <w14:schemeClr w14:val="bg1"/>
                                    </w14:solidFill>
                                  </w14:textFill>
                                </w:rPr>
                                <w:t>次「对标华为」的公开课、内训课程</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2" name="文本框 162"/>
                        <wps:cNvSpPr txBox="1"/>
                        <wps:spPr>
                          <a:xfrm>
                            <a:off x="9175" y="178345"/>
                            <a:ext cx="3661" cy="1477"/>
                          </a:xfrm>
                          <a:prstGeom prst="rect">
                            <a:avLst/>
                          </a:prstGeom>
                          <a:solidFill>
                            <a:srgbClr val="C00000"/>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开创</w:t>
                              </w:r>
                              <w:r>
                                <w:rPr>
                                  <w:rFonts w:hint="eastAsia" w:ascii="微软雅黑" w:hAnsi="微软雅黑" w:eastAsia="微软雅黑" w:cs="微软雅黑"/>
                                  <w:b/>
                                  <w:bCs/>
                                  <w:color w:val="FFFFFF" w:themeColor="background1"/>
                                  <w:sz w:val="28"/>
                                  <w:szCs w:val="28"/>
                                  <w14:textFill>
                                    <w14:solidFill>
                                      <w14:schemeClr w14:val="bg1"/>
                                    </w14:solidFill>
                                  </w14:textFill>
                                </w:rPr>
                                <w:t>「回归客户」年度论坛</w:t>
                              </w:r>
                              <w:r>
                                <w:rPr>
                                  <w:rFonts w:hint="eastAsia" w:ascii="微软雅黑" w:hAnsi="微软雅黑" w:eastAsia="微软雅黑" w:cs="微软雅黑"/>
                                  <w:color w:val="FFFFFF" w:themeColor="background1"/>
                                  <w:sz w:val="20"/>
                                  <w:szCs w:val="20"/>
                                  <w14:textFill>
                                    <w14:solidFill>
                                      <w14:schemeClr w14:val="bg1"/>
                                    </w14:solidFill>
                                  </w14:textFill>
                                </w:rPr>
                                <w:t>已经连续举办5期，以华为和各行业领军企业的成功变革为榜样</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5" name="文本框 165"/>
                        <wps:cNvSpPr txBox="1"/>
                        <wps:spPr>
                          <a:xfrm>
                            <a:off x="12887" y="178345"/>
                            <a:ext cx="1698" cy="2462"/>
                          </a:xfrm>
                          <a:prstGeom prst="rect">
                            <a:avLst/>
                          </a:prstGeom>
                          <a:solidFill>
                            <a:srgbClr val="0070C0"/>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超过</w:t>
                              </w:r>
                              <w:r>
                                <w:rPr>
                                  <w:rFonts w:hint="eastAsia" w:ascii="微软雅黑" w:hAnsi="微软雅黑" w:eastAsia="微软雅黑" w:cs="微软雅黑"/>
                                  <w:b/>
                                  <w:bCs/>
                                  <w:color w:val="FFFFFF" w:themeColor="background1"/>
                                  <w:sz w:val="28"/>
                                  <w:szCs w:val="28"/>
                                  <w14:textFill>
                                    <w14:solidFill>
                                      <w14:schemeClr w14:val="bg1"/>
                                    </w14:solidFill>
                                  </w14:textFill>
                                </w:rPr>
                                <w:t>300位</w:t>
                              </w:r>
                              <w:r>
                                <w:rPr>
                                  <w:rFonts w:hint="eastAsia" w:ascii="微软雅黑" w:hAnsi="微软雅黑" w:eastAsia="微软雅黑" w:cs="微软雅黑"/>
                                  <w:color w:val="FFFFFF" w:themeColor="background1"/>
                                  <w:sz w:val="20"/>
                                  <w:szCs w:val="20"/>
                                  <w14:textFill>
                                    <w14:solidFill>
                                      <w14:schemeClr w14:val="bg1"/>
                                    </w14:solidFill>
                                  </w14:textFill>
                                </w:rPr>
                                <w:t>主流企业创始人带领高管团队参加乔诺商学院公开课</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6" name="文本框 166"/>
                        <wps:cNvSpPr txBox="1"/>
                        <wps:spPr>
                          <a:xfrm>
                            <a:off x="14674" y="178345"/>
                            <a:ext cx="1948" cy="2098"/>
                          </a:xfrm>
                          <a:prstGeom prst="rect">
                            <a:avLst/>
                          </a:prstGeom>
                          <a:solidFill>
                            <a:schemeClr val="bg1">
                              <a:lumMod val="5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开创了</w:t>
                              </w:r>
                              <w:r>
                                <w:rPr>
                                  <w:rFonts w:hint="eastAsia" w:ascii="微软雅黑" w:hAnsi="微软雅黑" w:eastAsia="微软雅黑" w:cs="微软雅黑"/>
                                  <w:b/>
                                  <w:bCs/>
                                  <w:color w:val="FFFFFF" w:themeColor="background1"/>
                                  <w:sz w:val="28"/>
                                  <w:szCs w:val="28"/>
                                  <w14:textFill>
                                    <w14:solidFill>
                                      <w14:schemeClr w14:val="bg1"/>
                                    </w14:solidFill>
                                  </w14:textFill>
                                </w:rPr>
                                <w:t>绩效穿透核心方法论</w:t>
                              </w:r>
                              <w:r>
                                <w:rPr>
                                  <w:rFonts w:hint="eastAsia" w:ascii="微软雅黑" w:hAnsi="微软雅黑" w:eastAsia="微软雅黑" w:cs="微软雅黑"/>
                                  <w:color w:val="FFFFFF" w:themeColor="background1"/>
                                  <w:sz w:val="20"/>
                                  <w:szCs w:val="20"/>
                                  <w14:textFill>
                                    <w14:solidFill>
                                      <w14:schemeClr w14:val="bg1"/>
                                    </w14:solidFill>
                                  </w14:textFill>
                                </w:rPr>
                                <w:t>，帮助企业实现战略与组织目标、个人目标的对齐</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8" name="文本框 168"/>
                        <wps:cNvSpPr txBox="1"/>
                        <wps:spPr>
                          <a:xfrm>
                            <a:off x="6899" y="180870"/>
                            <a:ext cx="7697" cy="1321"/>
                          </a:xfrm>
                          <a:prstGeom prst="rect">
                            <a:avLst/>
                          </a:prstGeom>
                          <a:solidFill>
                            <a:schemeClr val="bg2">
                              <a:lumMod val="5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为</w:t>
                              </w:r>
                              <w:r>
                                <w:rPr>
                                  <w:rFonts w:hint="eastAsia" w:ascii="微软雅黑" w:hAnsi="微软雅黑" w:eastAsia="微软雅黑" w:cs="微软雅黑"/>
                                  <w:b/>
                                  <w:bCs/>
                                  <w:color w:val="FFFFFF" w:themeColor="background1"/>
                                  <w:sz w:val="28"/>
                                  <w:szCs w:val="28"/>
                                  <w14:textFill>
                                    <w14:solidFill>
                                      <w14:schemeClr w14:val="bg1"/>
                                    </w14:solidFill>
                                  </w14:textFill>
                                </w:rPr>
                                <w:t>100多家主流企业</w:t>
                              </w:r>
                              <w:r>
                                <w:rPr>
                                  <w:rFonts w:hint="eastAsia" w:ascii="微软雅黑" w:hAnsi="微软雅黑" w:eastAsia="微软雅黑" w:cs="微软雅黑"/>
                                  <w:color w:val="FFFFFF" w:themeColor="background1"/>
                                  <w:sz w:val="20"/>
                                  <w:szCs w:val="20"/>
                                  <w14:textFill>
                                    <w14:solidFill>
                                      <w14:schemeClr w14:val="bg1"/>
                                    </w14:solidFill>
                                  </w14:textFill>
                                </w:rPr>
                                <w:t>提供了战略、绩效、流程变革咨询辅导服务，包括行业双胞胎集团、方太集团、九鼎集团、喜临门家具、公牛集团、九牧王男装、美丽田园等主流企业</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7" name="文本框 167"/>
                        <wps:cNvSpPr txBox="1"/>
                        <wps:spPr>
                          <a:xfrm>
                            <a:off x="14674" y="180507"/>
                            <a:ext cx="1948" cy="1684"/>
                          </a:xfrm>
                          <a:prstGeom prst="rect">
                            <a:avLst/>
                          </a:prstGeom>
                          <a:solidFill>
                            <a:srgbClr val="002060"/>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带领</w:t>
                              </w:r>
                              <w:r>
                                <w:rPr>
                                  <w:rFonts w:hint="eastAsia" w:ascii="微软雅黑" w:hAnsi="微软雅黑" w:eastAsia="微软雅黑" w:cs="微软雅黑"/>
                                  <w:b/>
                                  <w:bCs/>
                                  <w:color w:val="FFFFFF" w:themeColor="background1"/>
                                  <w:sz w:val="28"/>
                                  <w:szCs w:val="28"/>
                                  <w14:textFill>
                                    <w14:solidFill>
                                      <w14:schemeClr w14:val="bg1"/>
                                    </w14:solidFill>
                                  </w14:textFill>
                                </w:rPr>
                                <w:t>1000人次</w:t>
                              </w:r>
                              <w:r>
                                <w:rPr>
                                  <w:rFonts w:hint="eastAsia" w:ascii="微软雅黑" w:hAnsi="微软雅黑" w:eastAsia="微软雅黑" w:cs="微软雅黑"/>
                                  <w:color w:val="FFFFFF" w:themeColor="background1"/>
                                  <w:sz w:val="20"/>
                                  <w:szCs w:val="20"/>
                                  <w14:textFill>
                                    <w14:solidFill>
                                      <w14:schemeClr w14:val="bg1"/>
                                    </w14:solidFill>
                                  </w14:textFill>
                                </w:rPr>
                                <w:t>走进华为深入考察学习</w:t>
                              </w:r>
                              <w:r>
                                <w:rPr>
                                  <w:rFonts w:hint="eastAsia" w:ascii="微软雅黑" w:hAnsi="微软雅黑" w:eastAsia="微软雅黑" w:cs="微软雅黑"/>
                                  <w:b/>
                                  <w:bCs/>
                                  <w:color w:val="FFFFFF" w:themeColor="background1"/>
                                  <w:sz w:val="28"/>
                                  <w:szCs w:val="28"/>
                                  <w14:textFill>
                                    <w14:solidFill>
                                      <w14:schemeClr w14:val="bg1"/>
                                    </w14:solidFill>
                                  </w14:textFill>
                                </w:rPr>
                                <w:t>24次</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1.3pt;margin-top:15.4pt;height:192.3pt;width:486.15pt;z-index:710866944;mso-width-relative:page;mso-height-relative:page;" coordorigin="6899,178345" coordsize="9723,3846" o:gfxdata="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">
                <o:lock v:ext="edit" aspectratio="f"/>
                <v:shape id="_x0000_s1026" o:spid="_x0000_s1026" o:spt="202" type="#_x0000_t202" style="position:absolute;left:6900;top:178345;height:2462;width:2199;" fillcolor="#0070C0" filled="t" stroked="f" coordsize="21600,21600" o:gfxdata="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MIN/vQAA&#10;ANwAAAAPAAAAAAAAAAEAIAAAACIAAABkcnMvZG93bnJldi54bWxQSwECFAAUAAAACACHTuJAMy8F&#10;njsAAAA5AAAAEAAAAAAAAAABACAAAAAMAQAAZHJzL3NoYXBleG1sLnhtbFBLBQYAAAAABgAGAFsB&#10;AAC2AwAAAAA=&#10;">
                  <v:fill on="t" focussize="0,0"/>
                  <v:stroke on="f" weight="0.5pt"/>
                  <v:imagedata o:title=""/>
                  <o:lock v:ext="edit" aspectratio="f"/>
                  <v:textbo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服务超过</w:t>
                        </w:r>
                        <w:r>
                          <w:rPr>
                            <w:rFonts w:hint="eastAsia" w:ascii="微软雅黑" w:hAnsi="微软雅黑" w:eastAsia="微软雅黑" w:cs="微软雅黑"/>
                            <w:b/>
                            <w:bCs/>
                            <w:color w:val="FFFFFF" w:themeColor="background1"/>
                            <w:sz w:val="28"/>
                            <w:szCs w:val="28"/>
                            <w14:textFill>
                              <w14:solidFill>
                                <w14:schemeClr w14:val="bg1"/>
                              </w14:solidFill>
                            </w14:textFill>
                          </w:rPr>
                          <w:t>3000家</w:t>
                        </w:r>
                        <w:r>
                          <w:rPr>
                            <w:rFonts w:hint="eastAsia" w:ascii="微软雅黑" w:hAnsi="微软雅黑" w:eastAsia="微软雅黑" w:cs="微软雅黑"/>
                            <w:color w:val="FFFFFF" w:themeColor="background1"/>
                            <w:sz w:val="20"/>
                            <w:szCs w:val="20"/>
                            <w14:textFill>
                              <w14:solidFill>
                                <w14:schemeClr w14:val="bg1"/>
                              </w14:solidFill>
                            </w14:textFill>
                          </w:rPr>
                          <w:t>中国主流企业，包括汽车行业、通信行业、服饰行业、医药行业、农牧行业、家电行业、新能源、地产建筑等行业领军企业</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v:textbox>
                </v:shape>
                <v:shape id="_x0000_s1026" o:spid="_x0000_s1026" o:spt="202" type="#_x0000_t202" style="position:absolute;left:9175;top:179882;height:927;width:3661;" fillcolor="#00B0F0" filled="t" stroked="f" coordsize="21600,21600" o:gfxdata="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9A72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开设了超过</w:t>
                        </w:r>
                        <w:r>
                          <w:rPr>
                            <w:rFonts w:hint="eastAsia" w:ascii="微软雅黑" w:hAnsi="微软雅黑" w:eastAsia="微软雅黑" w:cs="微软雅黑"/>
                            <w:b/>
                            <w:bCs/>
                            <w:color w:val="FFFFFF" w:themeColor="background1"/>
                            <w:sz w:val="28"/>
                            <w:szCs w:val="28"/>
                            <w14:textFill>
                              <w14:solidFill>
                                <w14:schemeClr w14:val="bg1"/>
                              </w14:solidFill>
                            </w14:textFill>
                          </w:rPr>
                          <w:t>2000场</w:t>
                        </w:r>
                        <w:r>
                          <w:rPr>
                            <w:rFonts w:hint="eastAsia" w:ascii="微软雅黑" w:hAnsi="微软雅黑" w:eastAsia="微软雅黑" w:cs="微软雅黑"/>
                            <w:color w:val="FFFFFF" w:themeColor="background1"/>
                            <w:sz w:val="20"/>
                            <w:szCs w:val="20"/>
                            <w14:textFill>
                              <w14:solidFill>
                                <w14:schemeClr w14:val="bg1"/>
                              </w14:solidFill>
                            </w14:textFill>
                          </w:rPr>
                          <w:t>次「对标华为」的公开课、内训课程</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v:textbox>
                </v:shape>
                <v:shape id="_x0000_s1026" o:spid="_x0000_s1026" o:spt="202" type="#_x0000_t202" style="position:absolute;left:9175;top:178345;height:1477;width:3661;" fillcolor="#C00000" filled="t" stroked="f" coordsize="21600,21600" o:gfxdata="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XbELrsAAADc&#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开创</w:t>
                        </w:r>
                        <w:r>
                          <w:rPr>
                            <w:rFonts w:hint="eastAsia" w:ascii="微软雅黑" w:hAnsi="微软雅黑" w:eastAsia="微软雅黑" w:cs="微软雅黑"/>
                            <w:b/>
                            <w:bCs/>
                            <w:color w:val="FFFFFF" w:themeColor="background1"/>
                            <w:sz w:val="28"/>
                            <w:szCs w:val="28"/>
                            <w14:textFill>
                              <w14:solidFill>
                                <w14:schemeClr w14:val="bg1"/>
                              </w14:solidFill>
                            </w14:textFill>
                          </w:rPr>
                          <w:t>「回归客户」年度论坛</w:t>
                        </w:r>
                        <w:r>
                          <w:rPr>
                            <w:rFonts w:hint="eastAsia" w:ascii="微软雅黑" w:hAnsi="微软雅黑" w:eastAsia="微软雅黑" w:cs="微软雅黑"/>
                            <w:color w:val="FFFFFF" w:themeColor="background1"/>
                            <w:sz w:val="20"/>
                            <w:szCs w:val="20"/>
                            <w14:textFill>
                              <w14:solidFill>
                                <w14:schemeClr w14:val="bg1"/>
                              </w14:solidFill>
                            </w14:textFill>
                          </w:rPr>
                          <w:t>已经连续举办5期，以华为和各行业领军企业的成功变革为榜样</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v:textbox>
                </v:shape>
                <v:shape id="_x0000_s1026" o:spid="_x0000_s1026" o:spt="202" type="#_x0000_t202" style="position:absolute;left:12887;top:178345;height:2462;width:1698;" fillcolor="#0070C0" filled="t" stroked="f" coordsize="21600,21600" o:gfxdata="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C4V8vQAA&#10;ANwAAAAPAAAAAAAAAAEAIAAAACIAAABkcnMvZG93bnJldi54bWxQSwECFAAUAAAACACHTuJAMy8F&#10;njsAAAA5AAAAEAAAAAAAAAABACAAAAAMAQAAZHJzL3NoYXBleG1sLnhtbFBLBQYAAAAABgAGAFsB&#10;AAC2AwAAAAA=&#10;">
                  <v:fill on="t" focussize="0,0"/>
                  <v:stroke on="f" weight="0.5pt"/>
                  <v:imagedata o:title=""/>
                  <o:lock v:ext="edit" aspectratio="f"/>
                  <v:textbo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超过</w:t>
                        </w:r>
                        <w:r>
                          <w:rPr>
                            <w:rFonts w:hint="eastAsia" w:ascii="微软雅黑" w:hAnsi="微软雅黑" w:eastAsia="微软雅黑" w:cs="微软雅黑"/>
                            <w:b/>
                            <w:bCs/>
                            <w:color w:val="FFFFFF" w:themeColor="background1"/>
                            <w:sz w:val="28"/>
                            <w:szCs w:val="28"/>
                            <w14:textFill>
                              <w14:solidFill>
                                <w14:schemeClr w14:val="bg1"/>
                              </w14:solidFill>
                            </w14:textFill>
                          </w:rPr>
                          <w:t>300位</w:t>
                        </w:r>
                        <w:r>
                          <w:rPr>
                            <w:rFonts w:hint="eastAsia" w:ascii="微软雅黑" w:hAnsi="微软雅黑" w:eastAsia="微软雅黑" w:cs="微软雅黑"/>
                            <w:color w:val="FFFFFF" w:themeColor="background1"/>
                            <w:sz w:val="20"/>
                            <w:szCs w:val="20"/>
                            <w14:textFill>
                              <w14:solidFill>
                                <w14:schemeClr w14:val="bg1"/>
                              </w14:solidFill>
                            </w14:textFill>
                          </w:rPr>
                          <w:t>主流企业创始人带领高管团队参加乔诺商学院公开课</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v:textbox>
                </v:shape>
                <v:shape id="_x0000_s1026" o:spid="_x0000_s1026" o:spt="202" type="#_x0000_t202" style="position:absolute;left:14674;top:178345;height:2098;width:1948;" fillcolor="#7F7F7F [1612]" filled="t" stroked="f" coordsize="21600,21600" o:gfxdata="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R0Ob4A&#10;AADcAAAADwAAAAAAAAABACAAAAAiAAAAZHJzL2Rvd25yZXYueG1sUEsBAhQAFAAAAAgAh07iQDMv&#10;BZ47AAAAOQAAABAAAAAAAAAAAQAgAAAADQEAAGRycy9zaGFwZXhtbC54bWxQSwUGAAAAAAYABgBb&#10;AQAAtwMAAAAA&#10;">
                  <v:fill on="t" focussize="0,0"/>
                  <v:stroke on="f" weight="0.5pt"/>
                  <v:imagedata o:title=""/>
                  <o:lock v:ext="edit" aspectratio="f"/>
                  <v:textbo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开创了</w:t>
                        </w:r>
                        <w:r>
                          <w:rPr>
                            <w:rFonts w:hint="eastAsia" w:ascii="微软雅黑" w:hAnsi="微软雅黑" w:eastAsia="微软雅黑" w:cs="微软雅黑"/>
                            <w:b/>
                            <w:bCs/>
                            <w:color w:val="FFFFFF" w:themeColor="background1"/>
                            <w:sz w:val="28"/>
                            <w:szCs w:val="28"/>
                            <w14:textFill>
                              <w14:solidFill>
                                <w14:schemeClr w14:val="bg1"/>
                              </w14:solidFill>
                            </w14:textFill>
                          </w:rPr>
                          <w:t>绩效穿透核心方法论</w:t>
                        </w:r>
                        <w:r>
                          <w:rPr>
                            <w:rFonts w:hint="eastAsia" w:ascii="微软雅黑" w:hAnsi="微软雅黑" w:eastAsia="微软雅黑" w:cs="微软雅黑"/>
                            <w:color w:val="FFFFFF" w:themeColor="background1"/>
                            <w:sz w:val="20"/>
                            <w:szCs w:val="20"/>
                            <w14:textFill>
                              <w14:solidFill>
                                <w14:schemeClr w14:val="bg1"/>
                              </w14:solidFill>
                            </w14:textFill>
                          </w:rPr>
                          <w:t>，帮助企业实现战略与组织目标、个人目标的对齐</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v:textbox>
                </v:shape>
                <v:shape id="_x0000_s1026" o:spid="_x0000_s1026" o:spt="202" type="#_x0000_t202" style="position:absolute;left:6899;top:180870;height:1321;width:7697;" fillcolor="#767171 [1614]" filled="t" stroked="f" coordsize="21600,21600" o:gfxdata="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h2474A&#10;AADcAAAADwAAAAAAAAABACAAAAAiAAAAZHJzL2Rvd25yZXYueG1sUEsBAhQAFAAAAAgAh07iQDMv&#10;BZ47AAAAOQAAABAAAAAAAAAAAQAgAAAADQEAAGRycy9zaGFwZXhtbC54bWxQSwUGAAAAAAYABgBb&#10;AQAAtwMAAAAA&#10;">
                  <v:fill on="t" focussize="0,0"/>
                  <v:stroke on="f" weight="0.5pt"/>
                  <v:imagedata o:title=""/>
                  <o:lock v:ext="edit" aspectratio="f"/>
                  <v:textbo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为</w:t>
                        </w:r>
                        <w:r>
                          <w:rPr>
                            <w:rFonts w:hint="eastAsia" w:ascii="微软雅黑" w:hAnsi="微软雅黑" w:eastAsia="微软雅黑" w:cs="微软雅黑"/>
                            <w:b/>
                            <w:bCs/>
                            <w:color w:val="FFFFFF" w:themeColor="background1"/>
                            <w:sz w:val="28"/>
                            <w:szCs w:val="28"/>
                            <w14:textFill>
                              <w14:solidFill>
                                <w14:schemeClr w14:val="bg1"/>
                              </w14:solidFill>
                            </w14:textFill>
                          </w:rPr>
                          <w:t>100多家主流企业</w:t>
                        </w:r>
                        <w:r>
                          <w:rPr>
                            <w:rFonts w:hint="eastAsia" w:ascii="微软雅黑" w:hAnsi="微软雅黑" w:eastAsia="微软雅黑" w:cs="微软雅黑"/>
                            <w:color w:val="FFFFFF" w:themeColor="background1"/>
                            <w:sz w:val="20"/>
                            <w:szCs w:val="20"/>
                            <w14:textFill>
                              <w14:solidFill>
                                <w14:schemeClr w14:val="bg1"/>
                              </w14:solidFill>
                            </w14:textFill>
                          </w:rPr>
                          <w:t>提供了战略、绩效、流程变革咨询辅导服务，包括行业双胞胎集团、方太集团、九鼎集团、喜临门家具、公牛集团、九牧王男装、美丽田园等主流企业</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v:textbox>
                </v:shape>
                <v:shape id="_x0000_s1026" o:spid="_x0000_s1026" o:spt="202" type="#_x0000_t202" style="position:absolute;left:14674;top:180507;height:1684;width:1948;" fillcolor="#002060" filled="t" stroked="f" coordsize="21600,21600" o:gfxdata="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8g+jvQAA&#10;ANwAAAAPAAAAAAAAAAEAIAAAACIAAABkcnMvZG93bnJldi54bWxQSwECFAAUAAAACACHTuJAMy8F&#10;njsAAAA5AAAAEAAAAAAAAAABACAAAAAMAQAAZHJzL3NoYXBleG1sLnhtbFBLBQYAAAAABgAGAFsB&#10;AAC2AwAAAAA=&#10;">
                  <v:fill on="t" focussize="0,0"/>
                  <v:stroke on="f" weight="0.5pt"/>
                  <v:imagedata o:title=""/>
                  <o:lock v:ext="edit" aspectratio="f"/>
                  <v:textbo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带领</w:t>
                        </w:r>
                        <w:r>
                          <w:rPr>
                            <w:rFonts w:hint="eastAsia" w:ascii="微软雅黑" w:hAnsi="微软雅黑" w:eastAsia="微软雅黑" w:cs="微软雅黑"/>
                            <w:b/>
                            <w:bCs/>
                            <w:color w:val="FFFFFF" w:themeColor="background1"/>
                            <w:sz w:val="28"/>
                            <w:szCs w:val="28"/>
                            <w14:textFill>
                              <w14:solidFill>
                                <w14:schemeClr w14:val="bg1"/>
                              </w14:solidFill>
                            </w14:textFill>
                          </w:rPr>
                          <w:t>1000人次</w:t>
                        </w:r>
                        <w:r>
                          <w:rPr>
                            <w:rFonts w:hint="eastAsia" w:ascii="微软雅黑" w:hAnsi="微软雅黑" w:eastAsia="微软雅黑" w:cs="微软雅黑"/>
                            <w:color w:val="FFFFFF" w:themeColor="background1"/>
                            <w:sz w:val="20"/>
                            <w:szCs w:val="20"/>
                            <w14:textFill>
                              <w14:solidFill>
                                <w14:schemeClr w14:val="bg1"/>
                              </w14:solidFill>
                            </w14:textFill>
                          </w:rPr>
                          <w:t>走进华为深入考察学习</w:t>
                        </w:r>
                        <w:r>
                          <w:rPr>
                            <w:rFonts w:hint="eastAsia" w:ascii="微软雅黑" w:hAnsi="微软雅黑" w:eastAsia="微软雅黑" w:cs="微软雅黑"/>
                            <w:b/>
                            <w:bCs/>
                            <w:color w:val="FFFFFF" w:themeColor="background1"/>
                            <w:sz w:val="28"/>
                            <w:szCs w:val="28"/>
                            <w14:textFill>
                              <w14:solidFill>
                                <w14:schemeClr w14:val="bg1"/>
                              </w14:solidFill>
                            </w14:textFill>
                          </w:rPr>
                          <w:t>24次</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v:textbox>
                </v:shape>
              </v:group>
            </w:pict>
          </mc:Fallback>
        </mc:AlternateContent>
      </w:r>
    </w:p>
    <w:p/>
    <w:p/>
    <w:p/>
    <w:p/>
    <w:p/>
    <w:p/>
    <w:p/>
    <w:p/>
    <w:p/>
    <w:p/>
    <w:p/>
    <w:p/>
    <w:p>
      <w:pPr>
        <w:jc w:val="center"/>
        <w:rPr>
          <w:rFonts w:hint="eastAsia" w:eastAsiaTheme="minorEastAsia"/>
          <w:lang w:val="en-US" w:eastAsia="zh-CN"/>
        </w:rPr>
      </w:pPr>
    </w:p>
    <w:p/>
    <w:p>
      <w:pPr>
        <w:rPr>
          <w:rFonts w:hint="eastAsia" w:eastAsia="宋体"/>
          <w:lang w:val="en-US" w:eastAsia="zh-CN"/>
        </w:rPr>
      </w:pPr>
      <w:r>
        <w:rPr>
          <w:rFonts w:hint="eastAsia"/>
          <w:lang w:eastAsia="zh-CN"/>
        </w:rPr>
        <w:t>咨询电话：</w:t>
      </w:r>
      <w:r>
        <w:rPr>
          <w:rFonts w:hint="eastAsia"/>
          <w:lang w:val="en-US" w:eastAsia="zh-CN"/>
        </w:rPr>
        <w:t>400-086-8596</w:t>
      </w:r>
    </w:p>
    <w:p>
      <w:r>
        <w:rPr>
          <w:sz w:val="24"/>
        </w:rPr>
        <mc:AlternateContent>
          <mc:Choice Requires="wps">
            <w:drawing>
              <wp:anchor distT="0" distB="0" distL="114300" distR="114300" simplePos="0" relativeHeight="710868992" behindDoc="0" locked="0" layoutInCell="1" allowOverlap="1">
                <wp:simplePos x="0" y="0"/>
                <wp:positionH relativeFrom="margin">
                  <wp:posOffset>821055</wp:posOffset>
                </wp:positionH>
                <wp:positionV relativeFrom="paragraph">
                  <wp:posOffset>107950</wp:posOffset>
                </wp:positionV>
                <wp:extent cx="3907790" cy="939165"/>
                <wp:effectExtent l="0" t="0" r="0" b="0"/>
                <wp:wrapNone/>
                <wp:docPr id="160" name="文本框 414"/>
                <wp:cNvGraphicFramePr/>
                <a:graphic xmlns:a="http://schemas.openxmlformats.org/drawingml/2006/main">
                  <a:graphicData uri="http://schemas.microsoft.com/office/word/2010/wordprocessingShape">
                    <wps:wsp>
                      <wps:cNvSpPr txBox="1"/>
                      <wps:spPr>
                        <a:xfrm>
                          <a:off x="0" y="0"/>
                          <a:ext cx="3907790" cy="939165"/>
                        </a:xfrm>
                        <a:prstGeom prst="rect">
                          <a:avLst/>
                        </a:prstGeom>
                        <a:noFill/>
                        <a:ln w="9525">
                          <a:noFill/>
                        </a:ln>
                      </wps:spPr>
                      <wps:txbx>
                        <w:txbxContent>
                          <w:p>
                            <w:pPr>
                              <w:spacing w:line="400" w:lineRule="exact"/>
                              <w:jc w:val="both"/>
                              <w:rPr>
                                <w:rFonts w:ascii="微软雅黑" w:hAnsi="微软雅黑" w:eastAsia="微软雅黑" w:cs="微软雅黑"/>
                                <w:color w:val="000000" w:themeColor="text1"/>
                                <w:sz w:val="24"/>
                                <w:szCs w:val="32"/>
                                <w14:textFill>
                                  <w14:solidFill>
                                    <w14:schemeClr w14:val="tx1"/>
                                  </w14:solidFill>
                                </w14:textFill>
                              </w:rPr>
                            </w:pPr>
                          </w:p>
                        </w:txbxContent>
                      </wps:txbx>
                      <wps:bodyPr upright="1">
                        <a:noAutofit/>
                      </wps:bodyPr>
                    </wps:wsp>
                  </a:graphicData>
                </a:graphic>
              </wp:anchor>
            </w:drawing>
          </mc:Choice>
          <mc:Fallback>
            <w:pict>
              <v:shape id="文本框 414" o:spid="_x0000_s1026" o:spt="202" type="#_x0000_t202" style="position:absolute;left:0pt;margin-left:64.65pt;margin-top:8.5pt;height:73.95pt;width:307.7pt;mso-position-horizontal-relative:margin;z-index:710868992;mso-width-relative:page;mso-height-relative:page;" filled="f" stroked="f" coordsize="21600,21600" o:gfxdata="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JvfcC1wAAAAoBAAAP&#10;AAAAAAAAAAEAIAAAACIAAABkcnMvZG93bnJldi54bWxQSwECFAAUAAAACACHTuJA6z25+KcBAAAn&#10;AwAADgAAAAAAAAABACAAAAAmAQAAZHJzL2Uyb0RvYy54bWxQSwUGAAAAAAYABgBZAQAAPwUAAAAA&#10;">
                <v:fill on="f" focussize="0,0"/>
                <v:stroke on="f"/>
                <v:imagedata o:title=""/>
                <o:lock v:ext="edit" aspectratio="f"/>
                <v:textbox>
                  <w:txbxContent>
                    <w:p>
                      <w:pPr>
                        <w:spacing w:line="400" w:lineRule="exact"/>
                        <w:jc w:val="both"/>
                        <w:rPr>
                          <w:rFonts w:ascii="微软雅黑" w:hAnsi="微软雅黑" w:eastAsia="微软雅黑" w:cs="微软雅黑"/>
                          <w:color w:val="000000" w:themeColor="text1"/>
                          <w:sz w:val="24"/>
                          <w:szCs w:val="32"/>
                          <w14:textFill>
                            <w14:solidFill>
                              <w14:schemeClr w14:val="tx1"/>
                            </w14:solidFill>
                          </w14:textFill>
                        </w:rPr>
                      </w:pPr>
                    </w:p>
                  </w:txbxContent>
                </v:textbox>
              </v:shape>
            </w:pict>
          </mc:Fallback>
        </mc:AlternateContent>
      </w:r>
    </w:p>
    <w:p/>
    <w:p>
      <w:r>
        <w:rPr>
          <w:rFonts w:hint="eastAsia" w:eastAsia="宋体"/>
        </w:rPr>
        <w:drawing>
          <wp:anchor distT="0" distB="0" distL="114935" distR="114935" simplePos="0" relativeHeight="710870016" behindDoc="1" locked="0" layoutInCell="1" allowOverlap="1">
            <wp:simplePos x="0" y="0"/>
            <wp:positionH relativeFrom="column">
              <wp:posOffset>-1152525</wp:posOffset>
            </wp:positionH>
            <wp:positionV relativeFrom="paragraph">
              <wp:posOffset>100965</wp:posOffset>
            </wp:positionV>
            <wp:extent cx="7705090" cy="2823210"/>
            <wp:effectExtent l="0" t="0" r="10160" b="15240"/>
            <wp:wrapNone/>
            <wp:docPr id="24" name="图片 24" descr="公司介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公司介绍"/>
                    <pic:cNvPicPr>
                      <a:picLocks noChangeAspect="1"/>
                    </pic:cNvPicPr>
                  </pic:nvPicPr>
                  <pic:blipFill>
                    <a:blip r:embed="rId9"/>
                    <a:srcRect t="34868"/>
                    <a:stretch>
                      <a:fillRect/>
                    </a:stretch>
                  </pic:blipFill>
                  <pic:spPr>
                    <a:xfrm>
                      <a:off x="0" y="0"/>
                      <a:ext cx="7705090" cy="2823210"/>
                    </a:xfrm>
                    <a:prstGeom prst="rect">
                      <a:avLst/>
                    </a:prstGeom>
                  </pic:spPr>
                </pic:pic>
              </a:graphicData>
            </a:graphic>
          </wp:anchor>
        </w:drawing>
      </w:r>
    </w:p>
    <w:p/>
    <w:p>
      <w:pPr>
        <w:snapToGrid w:val="0"/>
        <w:spacing w:line="280" w:lineRule="exact"/>
        <w:outlineLvl w:val="0"/>
        <w:rPr>
          <w:rFonts w:ascii="微软雅黑" w:hAnsi="微软雅黑" w:eastAsia="微软雅黑" w:cs="微软雅黑"/>
          <w:sz w:val="24"/>
        </w:rPr>
      </w:pPr>
    </w:p>
    <w:p/>
    <w:p/>
    <w:p/>
    <w:p/>
    <w:p/>
    <w:p/>
    <w:p/>
    <w:sectPr>
      <w:headerReference r:id="rId3" w:type="default"/>
      <w:footerReference r:id="rId4" w:type="default"/>
      <w:pgSz w:w="11906" w:h="16838"/>
      <w:pgMar w:top="1440"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column">
                <wp:posOffset>520700</wp:posOffset>
              </wp:positionH>
              <wp:positionV relativeFrom="paragraph">
                <wp:posOffset>151130</wp:posOffset>
              </wp:positionV>
              <wp:extent cx="4123690" cy="361950"/>
              <wp:effectExtent l="0" t="0" r="0" b="0"/>
              <wp:wrapNone/>
              <wp:docPr id="3" name="文本框 3"/>
              <wp:cNvGraphicFramePr/>
              <a:graphic xmlns:a="http://schemas.openxmlformats.org/drawingml/2006/main">
                <a:graphicData uri="http://schemas.microsoft.com/office/word/2010/wordprocessingShape">
                  <wps:wsp>
                    <wps:cNvSpPr txBox="1"/>
                    <wps:spPr>
                      <a:xfrm>
                        <a:off x="0" y="0"/>
                        <a:ext cx="4123690" cy="361950"/>
                      </a:xfrm>
                      <a:prstGeom prst="rect">
                        <a:avLst/>
                      </a:prstGeom>
                      <a:noFill/>
                      <a:ln w="6350">
                        <a:noFill/>
                      </a:ln>
                    </wps:spPr>
                    <wps:txbx>
                      <w:txbxContent>
                        <w:p>
                          <w:pPr>
                            <w:spacing w:line="400" w:lineRule="exact"/>
                            <w:jc w:val="distribute"/>
                            <w:rPr>
                              <w:rFonts w:ascii="微软雅黑" w:hAnsi="微软雅黑" w:eastAsia="微软雅黑" w:cs="微软雅黑"/>
                              <w:color w:val="404040" w:themeColor="text1" w:themeTint="BF"/>
                              <w:szCs w:val="15"/>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Cs w:val="15"/>
                              <w14:textFill>
                                <w14:solidFill>
                                  <w14:schemeClr w14:val="tx1">
                                    <w14:lumMod w14:val="75000"/>
                                    <w14:lumOff w14:val="25000"/>
                                  </w14:schemeClr>
                                </w14:solidFill>
                              </w14:textFill>
                            </w:rPr>
                            <w:t>为企业成为行业领导者提供关键学习与咨询服务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pt;margin-top:11.9pt;height:28.5pt;width:324.7pt;z-index:251659264;mso-width-relative:page;mso-height-relative:page;" filled="f" stroked="f" coordsize="21600,21600" o:gfxdata="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IFetLZ&#10;AAAACAEAAA8AAAAAAAAAAQAgAAAAIgAAAGRycy9kb3ducmV2LnhtbFBLAQIUABQAAAAIAIdO4kC6&#10;lwJNHwIAABgEAAAOAAAAAAAAAAEAIAAAACgBAABkcnMvZTJvRG9jLnhtbFBLBQYAAAAABgAGAFkB&#10;AAC5BQAAAAA=&#10;">
              <v:fill on="f" focussize="0,0"/>
              <v:stroke on="f" weight="0.5pt"/>
              <v:imagedata o:title=""/>
              <o:lock v:ext="edit" aspectratio="f"/>
              <v:textbox>
                <w:txbxContent>
                  <w:p>
                    <w:pPr>
                      <w:spacing w:line="400" w:lineRule="exact"/>
                      <w:jc w:val="distribute"/>
                      <w:rPr>
                        <w:rFonts w:ascii="微软雅黑" w:hAnsi="微软雅黑" w:eastAsia="微软雅黑" w:cs="微软雅黑"/>
                        <w:color w:val="404040" w:themeColor="text1" w:themeTint="BF"/>
                        <w:szCs w:val="15"/>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Cs w:val="15"/>
                        <w14:textFill>
                          <w14:solidFill>
                            <w14:schemeClr w14:val="tx1">
                              <w14:lumMod w14:val="75000"/>
                              <w14:lumOff w14:val="25000"/>
                            </w14:schemeClr>
                          </w14:solidFill>
                        </w14:textFill>
                      </w:rPr>
                      <w:t>为企业成为行业领导者提供关键学习与咨询服务</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-1156970</wp:posOffset>
              </wp:positionH>
              <wp:positionV relativeFrom="paragraph">
                <wp:posOffset>679450</wp:posOffset>
              </wp:positionV>
              <wp:extent cx="7580630" cy="99695"/>
              <wp:effectExtent l="0" t="0" r="1270" b="14605"/>
              <wp:wrapNone/>
              <wp:docPr id="8" name="矩形 8"/>
              <wp:cNvGraphicFramePr/>
              <a:graphic xmlns:a="http://schemas.openxmlformats.org/drawingml/2006/main">
                <a:graphicData uri="http://schemas.microsoft.com/office/word/2010/wordprocessingShape">
                  <wps:wsp>
                    <wps:cNvSpPr/>
                    <wps:spPr>
                      <a:xfrm>
                        <a:off x="1160780" y="10475595"/>
                        <a:ext cx="7580630" cy="9969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1pt;margin-top:53.5pt;height:7.85pt;width:596.9pt;z-index:251660288;v-text-anchor:middle;mso-width-relative:page;mso-height-relative:page;" fillcolor="#0070C0" filled="t" stroked="f" coordsize="21600,21600" o:gfxdata="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eaa2NwAAAANAQAADwAAAAAAAAABACAAAAAiAAAAZHJzL2Rvd25yZXYueG1sUEsBAhQAFAAAAAgA&#10;h07iQKEo2FVaAgAAiQQAAA4AAAAAAAAAAQAgAAAAKwEAAGRycy9lMm9Eb2MueG1sUEsFBgAAAAAG&#10;AAYAWQEAAPcFAAAAAA==&#10;">
              <v:fill on="t" focussize="0,0"/>
              <v:stroke on="f" weight="1pt" miterlimit="8" joinstyle="miter"/>
              <v:imagedata o:title=""/>
              <o:lock v:ext="edit" aspectratio="f"/>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drawing>
        <wp:anchor distT="0" distB="0" distL="114935" distR="114935" simplePos="0" relativeHeight="251661312" behindDoc="1" locked="0" layoutInCell="1" allowOverlap="1">
          <wp:simplePos x="0" y="0"/>
          <wp:positionH relativeFrom="column">
            <wp:posOffset>-1150620</wp:posOffset>
          </wp:positionH>
          <wp:positionV relativeFrom="paragraph">
            <wp:posOffset>-555625</wp:posOffset>
          </wp:positionV>
          <wp:extent cx="7593965" cy="789940"/>
          <wp:effectExtent l="0" t="0" r="6985" b="10160"/>
          <wp:wrapNone/>
          <wp:docPr id="5" name="图片 5" descr="内训页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内训页眉-2"/>
                  <pic:cNvPicPr>
                    <a:picLocks noChangeAspect="1"/>
                  </pic:cNvPicPr>
                </pic:nvPicPr>
                <pic:blipFill>
                  <a:blip r:embed="rId1"/>
                  <a:stretch>
                    <a:fillRect/>
                  </a:stretch>
                </pic:blipFill>
                <pic:spPr>
                  <a:xfrm>
                    <a:off x="0" y="0"/>
                    <a:ext cx="7593965" cy="78994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5D51197"/>
    <w:multiLevelType w:val="singleLevel"/>
    <w:tmpl w:val="F5D51197"/>
    <w:lvl w:ilvl="0" w:tentative="0">
      <w:start w:val="1"/>
      <w:numFmt w:val="bullet"/>
      <w:lvlText w:val=""/>
      <w:lvlJc w:val="left"/>
      <w:pPr>
        <w:ind w:left="420" w:hanging="420"/>
      </w:pPr>
      <w:rPr>
        <w:rFonts w:hint="default" w:ascii="Wingdings" w:hAnsi="Wingdings"/>
      </w:rPr>
    </w:lvl>
  </w:abstractNum>
  <w:abstractNum w:abstractNumId="1">
    <w:nsid w:val="5A3872C2"/>
    <w:multiLevelType w:val="singleLevel"/>
    <w:tmpl w:val="5A3872C2"/>
    <w:lvl w:ilvl="0" w:tentative="0">
      <w:start w:val="1"/>
      <w:numFmt w:val="bullet"/>
      <w:lvlText w:val=""/>
      <w:lvlJc w:val="left"/>
      <w:pPr>
        <w:ind w:left="42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27A9"/>
    <w:rsid w:val="0001142A"/>
    <w:rsid w:val="00012B28"/>
    <w:rsid w:val="00026122"/>
    <w:rsid w:val="00047A6B"/>
    <w:rsid w:val="000A2ED2"/>
    <w:rsid w:val="000B6985"/>
    <w:rsid w:val="000F6681"/>
    <w:rsid w:val="00102A26"/>
    <w:rsid w:val="00115AA7"/>
    <w:rsid w:val="001419F7"/>
    <w:rsid w:val="00172A27"/>
    <w:rsid w:val="0019648A"/>
    <w:rsid w:val="001B3787"/>
    <w:rsid w:val="001B65AB"/>
    <w:rsid w:val="001C2B00"/>
    <w:rsid w:val="001C7AAA"/>
    <w:rsid w:val="00203583"/>
    <w:rsid w:val="00214A8A"/>
    <w:rsid w:val="002247DF"/>
    <w:rsid w:val="00244FE5"/>
    <w:rsid w:val="00246A68"/>
    <w:rsid w:val="002501C1"/>
    <w:rsid w:val="0025288B"/>
    <w:rsid w:val="00266900"/>
    <w:rsid w:val="0027201E"/>
    <w:rsid w:val="00347137"/>
    <w:rsid w:val="00357D1C"/>
    <w:rsid w:val="00364122"/>
    <w:rsid w:val="003653C6"/>
    <w:rsid w:val="003B30BA"/>
    <w:rsid w:val="003D2B5A"/>
    <w:rsid w:val="003F3B65"/>
    <w:rsid w:val="00400D5A"/>
    <w:rsid w:val="00413CD7"/>
    <w:rsid w:val="004149D1"/>
    <w:rsid w:val="00435B66"/>
    <w:rsid w:val="00450BCD"/>
    <w:rsid w:val="00480ED0"/>
    <w:rsid w:val="00492E1F"/>
    <w:rsid w:val="004B064F"/>
    <w:rsid w:val="004B2DF2"/>
    <w:rsid w:val="00526D85"/>
    <w:rsid w:val="00527AFF"/>
    <w:rsid w:val="00544A91"/>
    <w:rsid w:val="00544CCF"/>
    <w:rsid w:val="00570839"/>
    <w:rsid w:val="00581AD5"/>
    <w:rsid w:val="00582BA3"/>
    <w:rsid w:val="0060535E"/>
    <w:rsid w:val="0062659B"/>
    <w:rsid w:val="006A5944"/>
    <w:rsid w:val="006B109B"/>
    <w:rsid w:val="0071041E"/>
    <w:rsid w:val="00786820"/>
    <w:rsid w:val="00786B53"/>
    <w:rsid w:val="007B1200"/>
    <w:rsid w:val="007C5E69"/>
    <w:rsid w:val="007F018A"/>
    <w:rsid w:val="00801ED0"/>
    <w:rsid w:val="008075AA"/>
    <w:rsid w:val="0081207D"/>
    <w:rsid w:val="008420E3"/>
    <w:rsid w:val="00864360"/>
    <w:rsid w:val="00884D48"/>
    <w:rsid w:val="008C120B"/>
    <w:rsid w:val="008C4675"/>
    <w:rsid w:val="008C4F97"/>
    <w:rsid w:val="00934C2A"/>
    <w:rsid w:val="009478C8"/>
    <w:rsid w:val="00986158"/>
    <w:rsid w:val="00996126"/>
    <w:rsid w:val="009C2AEE"/>
    <w:rsid w:val="009D7FD2"/>
    <w:rsid w:val="009E0209"/>
    <w:rsid w:val="009E29C7"/>
    <w:rsid w:val="00A268B5"/>
    <w:rsid w:val="00A7609C"/>
    <w:rsid w:val="00A8143B"/>
    <w:rsid w:val="00A820B4"/>
    <w:rsid w:val="00A92114"/>
    <w:rsid w:val="00AE2A75"/>
    <w:rsid w:val="00AE2D73"/>
    <w:rsid w:val="00AE7396"/>
    <w:rsid w:val="00AF3B50"/>
    <w:rsid w:val="00B71ED5"/>
    <w:rsid w:val="00BB054C"/>
    <w:rsid w:val="00BB6713"/>
    <w:rsid w:val="00BC39ED"/>
    <w:rsid w:val="00BD1106"/>
    <w:rsid w:val="00BD656D"/>
    <w:rsid w:val="00BE49C4"/>
    <w:rsid w:val="00C14AB7"/>
    <w:rsid w:val="00C308B9"/>
    <w:rsid w:val="00C414E0"/>
    <w:rsid w:val="00C4160A"/>
    <w:rsid w:val="00C51D03"/>
    <w:rsid w:val="00C976EA"/>
    <w:rsid w:val="00CA2EC1"/>
    <w:rsid w:val="00CE192C"/>
    <w:rsid w:val="00D25225"/>
    <w:rsid w:val="00D377D0"/>
    <w:rsid w:val="00D53118"/>
    <w:rsid w:val="00D7505E"/>
    <w:rsid w:val="00D90CBB"/>
    <w:rsid w:val="00D912B7"/>
    <w:rsid w:val="00DB5696"/>
    <w:rsid w:val="00DC032D"/>
    <w:rsid w:val="00DC1507"/>
    <w:rsid w:val="00DC316C"/>
    <w:rsid w:val="00DD0B4A"/>
    <w:rsid w:val="00DE6DFA"/>
    <w:rsid w:val="00E6246F"/>
    <w:rsid w:val="00E6278D"/>
    <w:rsid w:val="00E81A09"/>
    <w:rsid w:val="00E83860"/>
    <w:rsid w:val="00EE0422"/>
    <w:rsid w:val="00F02470"/>
    <w:rsid w:val="00F12765"/>
    <w:rsid w:val="00F67098"/>
    <w:rsid w:val="00F82B83"/>
    <w:rsid w:val="00F93323"/>
    <w:rsid w:val="00F94E76"/>
    <w:rsid w:val="01EE4370"/>
    <w:rsid w:val="03EA42B7"/>
    <w:rsid w:val="04317B29"/>
    <w:rsid w:val="05FF4BA6"/>
    <w:rsid w:val="065A716A"/>
    <w:rsid w:val="0BB13844"/>
    <w:rsid w:val="0BD56A82"/>
    <w:rsid w:val="0CB13319"/>
    <w:rsid w:val="11604615"/>
    <w:rsid w:val="12FD567C"/>
    <w:rsid w:val="1328209C"/>
    <w:rsid w:val="16D91BF1"/>
    <w:rsid w:val="1A013860"/>
    <w:rsid w:val="1AC04EAA"/>
    <w:rsid w:val="1B2D32CC"/>
    <w:rsid w:val="1B430423"/>
    <w:rsid w:val="1C7245DB"/>
    <w:rsid w:val="1D3D62C7"/>
    <w:rsid w:val="20E82EED"/>
    <w:rsid w:val="225222B0"/>
    <w:rsid w:val="22F141FB"/>
    <w:rsid w:val="25240585"/>
    <w:rsid w:val="2633508E"/>
    <w:rsid w:val="29B64301"/>
    <w:rsid w:val="29EF3A63"/>
    <w:rsid w:val="2C7C032F"/>
    <w:rsid w:val="2D045A40"/>
    <w:rsid w:val="2DDE156C"/>
    <w:rsid w:val="2EA0310A"/>
    <w:rsid w:val="311613CB"/>
    <w:rsid w:val="31B11A05"/>
    <w:rsid w:val="34F43B0E"/>
    <w:rsid w:val="36640A7B"/>
    <w:rsid w:val="420B4F10"/>
    <w:rsid w:val="43402CCB"/>
    <w:rsid w:val="445459FB"/>
    <w:rsid w:val="461F1748"/>
    <w:rsid w:val="4794006A"/>
    <w:rsid w:val="4BCB7112"/>
    <w:rsid w:val="4DC37A09"/>
    <w:rsid w:val="512C288F"/>
    <w:rsid w:val="517C5413"/>
    <w:rsid w:val="53E375FB"/>
    <w:rsid w:val="54E67C40"/>
    <w:rsid w:val="550C7785"/>
    <w:rsid w:val="57075398"/>
    <w:rsid w:val="584C3F39"/>
    <w:rsid w:val="587B4973"/>
    <w:rsid w:val="5C33429A"/>
    <w:rsid w:val="608D741C"/>
    <w:rsid w:val="60927648"/>
    <w:rsid w:val="64093840"/>
    <w:rsid w:val="666974D3"/>
    <w:rsid w:val="66F20461"/>
    <w:rsid w:val="677446E9"/>
    <w:rsid w:val="683425B0"/>
    <w:rsid w:val="695127DA"/>
    <w:rsid w:val="69752178"/>
    <w:rsid w:val="6C004A82"/>
    <w:rsid w:val="6D1A113A"/>
    <w:rsid w:val="6DAD722D"/>
    <w:rsid w:val="6EDC6DA3"/>
    <w:rsid w:val="70A73534"/>
    <w:rsid w:val="72276669"/>
    <w:rsid w:val="74C9351B"/>
    <w:rsid w:val="74FE236E"/>
    <w:rsid w:val="786E03FC"/>
    <w:rsid w:val="78722398"/>
    <w:rsid w:val="78DD5A9F"/>
    <w:rsid w:val="7AD87D75"/>
    <w:rsid w:val="7B1D23C1"/>
    <w:rsid w:val="7B2E18D7"/>
    <w:rsid w:val="7C3213EC"/>
    <w:rsid w:val="7ED344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Calibri" w:hAnsi="Calibri" w:eastAsia="宋体" w:cs="Times New Roman"/>
      <w:kern w:val="2"/>
      <w:sz w:val="21"/>
      <w:lang w:val="en-US" w:eastAsia="zh-CN" w:bidi="ar-SA"/>
    </w:rPr>
  </w:style>
  <w:style w:type="character" w:default="1" w:styleId="6">
    <w:name w:val="Default Paragraph Font"/>
    <w:semiHidden/>
    <w:unhideWhenUsed/>
    <w:qFormat/>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unhideWhenUsed/>
    <w:qFormat/>
    <w:uiPriority w:val="99"/>
    <w:pPr>
      <w:spacing w:before="100" w:beforeAutospacing="1" w:after="100" w:afterAutospacing="1"/>
      <w:jc w:val="left"/>
    </w:pPr>
    <w:rPr>
      <w:rFonts w:ascii="宋体" w:hAnsi="宋体" w:cs="宋体"/>
      <w:kern w:val="0"/>
      <w:sz w:val="24"/>
      <w:szCs w:val="24"/>
    </w:rPr>
  </w:style>
  <w:style w:type="character" w:styleId="7">
    <w:name w:val="Hyperlink"/>
    <w:basedOn w:val="6"/>
    <w:qFormat/>
    <w:uiPriority w:val="0"/>
    <w:rPr>
      <w:color w:val="0563C1" w:themeColor="hyperlink"/>
      <w:u w:val="single"/>
      <w14:textFill>
        <w14:solidFill>
          <w14:schemeClr w14:val="hlink"/>
        </w14:solidFill>
      </w14:textFill>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0">
    <w:name w:val="Default"/>
    <w:unhideWhenUsed/>
    <w:qFormat/>
    <w:uiPriority w:val="99"/>
    <w:pPr>
      <w:widowControl w:val="0"/>
      <w:autoSpaceDE w:val="0"/>
      <w:autoSpaceDN w:val="0"/>
      <w:adjustRightInd w:val="0"/>
    </w:pPr>
    <w:rPr>
      <w:rFonts w:hint="eastAsia" w:ascii="微软雅黑" w:hAnsi="微软雅黑" w:eastAsia="微软雅黑" w:cs="Times New Roman"/>
      <w:color w:val="000000"/>
      <w:sz w:val="24"/>
      <w:lang w:val="en-US" w:eastAsia="zh-CN" w:bidi="ar-SA"/>
    </w:rPr>
  </w:style>
  <w:style w:type="paragraph" w:customStyle="1" w:styleId="11">
    <w:name w:val="列出段落1"/>
    <w:basedOn w:val="1"/>
    <w:qFormat/>
    <w:uiPriority w:val="34"/>
    <w:pPr>
      <w:ind w:firstLine="420" w:firstLineChars="200"/>
    </w:pPr>
  </w:style>
  <w:style w:type="paragraph" w:styleId="12">
    <w:name w:val="List Paragraph"/>
    <w:basedOn w:val="1"/>
    <w:qFormat/>
    <w:uiPriority w:val="99"/>
    <w:pPr>
      <w:ind w:firstLine="420" w:firstLineChars="200"/>
    </w:pPr>
  </w:style>
  <w:style w:type="paragraph" w:customStyle="1" w:styleId="13">
    <w:name w:val="正文 New New New New New New"/>
    <w:qFormat/>
    <w:uiPriority w:val="0"/>
    <w:pPr>
      <w:widowControl w:val="0"/>
      <w:jc w:val="both"/>
    </w:pPr>
    <w:rPr>
      <w:rFonts w:eastAsia="宋体" w:cs="Times New Roman" w:asciiTheme="minorHAnsi" w:hAnsiTheme="minorHAnsi"/>
      <w:kern w:val="2"/>
      <w:sz w:val="21"/>
      <w:szCs w:val="24"/>
      <w:lang w:val="en-US" w:eastAsia="zh-CN" w:bidi="ar-SA"/>
    </w:rPr>
  </w:style>
  <w:style w:type="paragraph" w:customStyle="1" w:styleId="14">
    <w:name w:val="列出段落4"/>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18D9F3-F78E-924A-BE7F-0E6E0E0AC2BB}">
  <ds:schemaRefs/>
</ds:datastoreItem>
</file>

<file path=docProps/app.xml><?xml version="1.0" encoding="utf-8"?>
<Properties xmlns="http://schemas.openxmlformats.org/officeDocument/2006/extended-properties" xmlns:vt="http://schemas.openxmlformats.org/officeDocument/2006/docPropsVTypes">
  <Template>Normal.dotm</Template>
  <Pages>7</Pages>
  <Words>127</Words>
  <Characters>729</Characters>
  <Lines>6</Lines>
  <Paragraphs>1</Paragraphs>
  <TotalTime>13</TotalTime>
  <ScaleCrop>false</ScaleCrop>
  <LinksUpToDate>false</LinksUpToDate>
  <CharactersWithSpaces>855</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2016-12-22T09:39:00Z</dcterms:created>
  <dc:creator>Administrator</dc:creator>
  <cp:lastModifiedBy>pc</cp:lastModifiedBy>
  <cp:lastPrinted>2016-12-02T05:36:00Z</cp:lastPrinted>
  <dcterms:modified xsi:type="dcterms:W3CDTF">2018-12-19T02:37:58Z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