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555" w:rsidRDefault="004F7B75">
      <w:bookmarkStart w:id="0" w:name="_GoBack"/>
      <w:r>
        <w:rPr>
          <w:rFonts w:hint="eastAsia"/>
          <w:noProof/>
        </w:rPr>
        <w:drawing>
          <wp:anchor distT="0" distB="0" distL="114935" distR="114935" simplePos="0" relativeHeight="251787264" behindDoc="1" locked="0" layoutInCell="1" allowOverlap="1">
            <wp:simplePos x="0" y="0"/>
            <wp:positionH relativeFrom="column">
              <wp:posOffset>-1143000</wp:posOffset>
            </wp:positionH>
            <wp:positionV relativeFrom="paragraph">
              <wp:posOffset>-921385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9"/>
                    <a:stretch>
                      <a:fillRect/>
                    </a:stretch>
                  </pic:blipFill>
                  <pic:spPr>
                    <a:xfrm>
                      <a:off x="0" y="0"/>
                      <a:ext cx="7569200" cy="10704830"/>
                    </a:xfrm>
                    <a:prstGeom prst="rect">
                      <a:avLst/>
                    </a:prstGeom>
                  </pic:spPr>
                </pic:pic>
              </a:graphicData>
            </a:graphic>
          </wp:anchor>
        </w:drawing>
      </w:r>
      <w:bookmarkEnd w:id="0"/>
    </w:p>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4F7B75">
      <w:r>
        <w:rPr>
          <w:noProof/>
        </w:rPr>
        <mc:AlternateContent>
          <mc:Choice Requires="wps">
            <w:drawing>
              <wp:anchor distT="0" distB="0" distL="114300" distR="114300" simplePos="0" relativeHeight="251688960" behindDoc="0" locked="0" layoutInCell="1" allowOverlap="1">
                <wp:simplePos x="0" y="0"/>
                <wp:positionH relativeFrom="column">
                  <wp:posOffset>-403860</wp:posOffset>
                </wp:positionH>
                <wp:positionV relativeFrom="paragraph">
                  <wp:posOffset>10795</wp:posOffset>
                </wp:positionV>
                <wp:extent cx="6840220" cy="11791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840220" cy="1179195"/>
                        </a:xfrm>
                        <a:prstGeom prst="rect">
                          <a:avLst/>
                        </a:prstGeom>
                        <a:noFill/>
                        <a:ln w="6350">
                          <a:noFill/>
                        </a:ln>
                      </wps:spPr>
                      <wps:txbx>
                        <w:txbxContent>
                          <w:p w:rsidR="00024555" w:rsidRDefault="004F7B75">
                            <w:pPr>
                              <w:spacing w:line="900" w:lineRule="exact"/>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策略销售：</w:t>
                            </w:r>
                          </w:p>
                          <w:p w:rsidR="00024555" w:rsidRDefault="004F7B75">
                            <w:pPr>
                              <w:spacing w:line="900" w:lineRule="exact"/>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大项目的策略分析与策略制定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31.8pt;margin-top:.85pt;width:538.6pt;height:92.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" filled="f" stroked="f" strokeweight=".5pt">
                <v:textbox>
                  <w:txbxContent>
                    <w:p w:rsidR="00024555" w:rsidRDefault="004F7B75">
                      <w:pPr>
                        <w:spacing w:line="900" w:lineRule="exact"/>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策略销售：</w:t>
                      </w:r>
                    </w:p>
                    <w:p w:rsidR="00024555" w:rsidRDefault="004F7B75">
                      <w:pPr>
                        <w:spacing w:line="900" w:lineRule="exact"/>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大项目的策略分析与策略制定</w:t>
                      </w:r>
                    </w:p>
                  </w:txbxContent>
                </v:textbox>
              </v:shape>
            </w:pict>
          </mc:Fallback>
        </mc:AlternateContent>
      </w:r>
    </w:p>
    <w:p w:rsidR="00024555" w:rsidRDefault="00024555"/>
    <w:p w:rsidR="00024555" w:rsidRDefault="00024555"/>
    <w:p w:rsidR="00024555" w:rsidRDefault="00024555"/>
    <w:p w:rsidR="00024555" w:rsidRDefault="00024555"/>
    <w:p w:rsidR="00024555" w:rsidRDefault="00024555"/>
    <w:p w:rsidR="00024555" w:rsidRDefault="004F7B75">
      <w:r>
        <w:rPr>
          <w:noProof/>
        </w:rPr>
        <mc:AlternateContent>
          <mc:Choice Requires="wps">
            <w:drawing>
              <wp:anchor distT="0" distB="0" distL="114300" distR="114300" simplePos="0" relativeHeight="251720704" behindDoc="0" locked="0" layoutInCell="1" allowOverlap="1">
                <wp:simplePos x="0" y="0"/>
                <wp:positionH relativeFrom="column">
                  <wp:posOffset>148590</wp:posOffset>
                </wp:positionH>
                <wp:positionV relativeFrom="paragraph">
                  <wp:posOffset>13335</wp:posOffset>
                </wp:positionV>
                <wp:extent cx="7360285" cy="18180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360285" cy="1818005"/>
                        </a:xfrm>
                        <a:prstGeom prst="rect">
                          <a:avLst/>
                        </a:prstGeom>
                        <a:noFill/>
                        <a:ln w="6350">
                          <a:noFill/>
                        </a:ln>
                      </wps:spPr>
                      <wps:txbx>
                        <w:txbxContent>
                          <w:p w:rsidR="00024555" w:rsidRDefault="004F7B75">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学习对象：企业销售副总、销售总监、大客户总监、销售团队成员、销售储备人员等</w:t>
                            </w:r>
                          </w:p>
                          <w:p w:rsidR="00024555" w:rsidRDefault="004F7B75">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color w:val="FFFFFF" w:themeColor="background1"/>
                                <w:sz w:val="24"/>
                                <w:szCs w:val="32"/>
                              </w:rPr>
                              <w:t>崔</w:t>
                            </w:r>
                            <w:r>
                              <w:rPr>
                                <w:rFonts w:ascii="微软雅黑" w:eastAsia="微软雅黑" w:hAnsi="微软雅黑" w:cs="微软雅黑" w:hint="eastAsia"/>
                                <w:b/>
                                <w:bCs/>
                                <w:color w:val="FFFFFF" w:themeColor="background1"/>
                                <w:sz w:val="24"/>
                                <w:szCs w:val="32"/>
                              </w:rPr>
                              <w:t>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原浪潮集团产品市场部总经理、原用友集团大客户经理</w:t>
                            </w:r>
                          </w:p>
                          <w:p w:rsidR="00024555" w:rsidRDefault="004F7B75">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标准课时：</w:t>
                            </w:r>
                            <w:r>
                              <w:rPr>
                                <w:rFonts w:ascii="微软雅黑" w:eastAsia="微软雅黑" w:hAnsi="微软雅黑" w:cs="微软雅黑" w:hint="eastAsia"/>
                                <w:color w:val="FFFFFF" w:themeColor="background1"/>
                                <w:sz w:val="24"/>
                                <w:szCs w:val="32"/>
                              </w:rPr>
                              <w:t>12</w:t>
                            </w:r>
                            <w:r>
                              <w:rPr>
                                <w:rFonts w:ascii="微软雅黑" w:eastAsia="微软雅黑" w:hAnsi="微软雅黑" w:cs="微软雅黑" w:hint="eastAsia"/>
                                <w:color w:val="FFFFFF" w:themeColor="background1"/>
                                <w:sz w:val="24"/>
                                <w:szCs w:val="32"/>
                              </w:rPr>
                              <w:t>课时（</w:t>
                            </w:r>
                            <w:r>
                              <w:rPr>
                                <w:rFonts w:ascii="微软雅黑" w:eastAsia="微软雅黑" w:hAnsi="微软雅黑" w:cs="微软雅黑" w:hint="eastAsia"/>
                                <w:color w:val="FFFFFF" w:themeColor="background1"/>
                                <w:sz w:val="24"/>
                                <w:szCs w:val="32"/>
                              </w:rPr>
                              <w:t>2</w:t>
                            </w:r>
                            <w:r>
                              <w:rPr>
                                <w:rFonts w:ascii="微软雅黑" w:eastAsia="微软雅黑" w:hAnsi="微软雅黑" w:cs="微软雅黑" w:hint="eastAsia"/>
                                <w:color w:val="FFFFFF" w:themeColor="background1"/>
                                <w:sz w:val="24"/>
                                <w:szCs w:val="32"/>
                              </w:rPr>
                              <w:t>天）</w:t>
                            </w:r>
                          </w:p>
                          <w:p w:rsidR="00024555" w:rsidRDefault="004F7B75">
                            <w:pPr>
                              <w:spacing w:line="440" w:lineRule="exact"/>
                              <w:jc w:val="left"/>
                              <w:rPr>
                                <w:rFonts w:ascii="宋体" w:hAnsi="宋体" w:cs="宋体"/>
                                <w:color w:val="FFFFFF" w:themeColor="background1"/>
                                <w:sz w:val="24"/>
                                <w:szCs w:val="32"/>
                              </w:rPr>
                            </w:pPr>
                            <w:r>
                              <w:rPr>
                                <w:rFonts w:ascii="宋体" w:hAnsi="宋体" w:cs="宋体" w:hint="eastAsia"/>
                                <w:color w:val="FFFFFF" w:themeColor="background1"/>
                                <w:sz w:val="24"/>
                                <w:szCs w:val="32"/>
                              </w:rPr>
                              <w:t>学习费用</w:t>
                            </w:r>
                            <w:r>
                              <w:rPr>
                                <w:rFonts w:ascii="宋体" w:hAnsi="宋体" w:cs="宋体" w:hint="eastAsia"/>
                                <w:color w:val="FFFFFF" w:themeColor="background1"/>
                                <w:sz w:val="24"/>
                                <w:szCs w:val="32"/>
                              </w:rPr>
                              <w:t>:7800/</w:t>
                            </w:r>
                            <w:r>
                              <w:rPr>
                                <w:rFonts w:ascii="宋体" w:hAnsi="宋体" w:cs="宋体" w:hint="eastAsia"/>
                                <w:color w:val="FFFFFF" w:themeColor="background1"/>
                                <w:sz w:val="24"/>
                                <w:szCs w:val="32"/>
                              </w:rPr>
                              <w:t>人</w:t>
                            </w:r>
                          </w:p>
                          <w:p w:rsidR="00024555" w:rsidRDefault="00024555">
                            <w:pPr>
                              <w:spacing w:line="440" w:lineRule="exact"/>
                              <w:jc w:val="left"/>
                              <w:rPr>
                                <w:rFonts w:ascii="宋体" w:hAnsi="宋体" w:cs="宋体"/>
                                <w:color w:val="FFFFFF" w:themeColor="background1"/>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7" type="#_x0000_t202" style="position:absolute;left:0;text-align:left;margin-left:11.7pt;margin-top:1.05pt;width:579.55pt;height:143.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" filled="f" stroked="f" strokeweight=".5pt">
                <v:textbox>
                  <w:txbxContent>
                    <w:p w:rsidR="00024555" w:rsidRDefault="004F7B75">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学习对象：企业销售副总、销售总监、大客户总监、销售团队成员、销售储备人员等</w:t>
                      </w:r>
                    </w:p>
                    <w:p w:rsidR="00024555" w:rsidRDefault="004F7B75">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color w:val="FFFFFF" w:themeColor="background1"/>
                          <w:sz w:val="24"/>
                          <w:szCs w:val="32"/>
                        </w:rPr>
                        <w:t>崔</w:t>
                      </w:r>
                      <w:r>
                        <w:rPr>
                          <w:rFonts w:ascii="微软雅黑" w:eastAsia="微软雅黑" w:hAnsi="微软雅黑" w:cs="微软雅黑" w:hint="eastAsia"/>
                          <w:b/>
                          <w:bCs/>
                          <w:color w:val="FFFFFF" w:themeColor="background1"/>
                          <w:sz w:val="24"/>
                          <w:szCs w:val="32"/>
                        </w:rPr>
                        <w:t>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原浪潮集团产品市场部总经理、原用友集团大客户经理</w:t>
                      </w:r>
                    </w:p>
                    <w:p w:rsidR="00024555" w:rsidRDefault="004F7B75">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标准课时：</w:t>
                      </w:r>
                      <w:r>
                        <w:rPr>
                          <w:rFonts w:ascii="微软雅黑" w:eastAsia="微软雅黑" w:hAnsi="微软雅黑" w:cs="微软雅黑" w:hint="eastAsia"/>
                          <w:color w:val="FFFFFF" w:themeColor="background1"/>
                          <w:sz w:val="24"/>
                          <w:szCs w:val="32"/>
                        </w:rPr>
                        <w:t>12</w:t>
                      </w:r>
                      <w:r>
                        <w:rPr>
                          <w:rFonts w:ascii="微软雅黑" w:eastAsia="微软雅黑" w:hAnsi="微软雅黑" w:cs="微软雅黑" w:hint="eastAsia"/>
                          <w:color w:val="FFFFFF" w:themeColor="background1"/>
                          <w:sz w:val="24"/>
                          <w:szCs w:val="32"/>
                        </w:rPr>
                        <w:t>课时（</w:t>
                      </w:r>
                      <w:r>
                        <w:rPr>
                          <w:rFonts w:ascii="微软雅黑" w:eastAsia="微软雅黑" w:hAnsi="微软雅黑" w:cs="微软雅黑" w:hint="eastAsia"/>
                          <w:color w:val="FFFFFF" w:themeColor="background1"/>
                          <w:sz w:val="24"/>
                          <w:szCs w:val="32"/>
                        </w:rPr>
                        <w:t>2</w:t>
                      </w:r>
                      <w:r>
                        <w:rPr>
                          <w:rFonts w:ascii="微软雅黑" w:eastAsia="微软雅黑" w:hAnsi="微软雅黑" w:cs="微软雅黑" w:hint="eastAsia"/>
                          <w:color w:val="FFFFFF" w:themeColor="background1"/>
                          <w:sz w:val="24"/>
                          <w:szCs w:val="32"/>
                        </w:rPr>
                        <w:t>天）</w:t>
                      </w:r>
                    </w:p>
                    <w:p w:rsidR="00024555" w:rsidRDefault="004F7B75">
                      <w:pPr>
                        <w:spacing w:line="440" w:lineRule="exact"/>
                        <w:jc w:val="left"/>
                        <w:rPr>
                          <w:rFonts w:ascii="宋体" w:hAnsi="宋体" w:cs="宋体"/>
                          <w:color w:val="FFFFFF" w:themeColor="background1"/>
                          <w:sz w:val="24"/>
                          <w:szCs w:val="32"/>
                        </w:rPr>
                      </w:pPr>
                      <w:r>
                        <w:rPr>
                          <w:rFonts w:ascii="宋体" w:hAnsi="宋体" w:cs="宋体" w:hint="eastAsia"/>
                          <w:color w:val="FFFFFF" w:themeColor="background1"/>
                          <w:sz w:val="24"/>
                          <w:szCs w:val="32"/>
                        </w:rPr>
                        <w:t>学习费用</w:t>
                      </w:r>
                      <w:r>
                        <w:rPr>
                          <w:rFonts w:ascii="宋体" w:hAnsi="宋体" w:cs="宋体" w:hint="eastAsia"/>
                          <w:color w:val="FFFFFF" w:themeColor="background1"/>
                          <w:sz w:val="24"/>
                          <w:szCs w:val="32"/>
                        </w:rPr>
                        <w:t>:7800/</w:t>
                      </w:r>
                      <w:r>
                        <w:rPr>
                          <w:rFonts w:ascii="宋体" w:hAnsi="宋体" w:cs="宋体" w:hint="eastAsia"/>
                          <w:color w:val="FFFFFF" w:themeColor="background1"/>
                          <w:sz w:val="24"/>
                          <w:szCs w:val="32"/>
                        </w:rPr>
                        <w:t>人</w:t>
                      </w:r>
                    </w:p>
                    <w:p w:rsidR="00024555" w:rsidRDefault="00024555">
                      <w:pPr>
                        <w:spacing w:line="440" w:lineRule="exact"/>
                        <w:jc w:val="left"/>
                        <w:rPr>
                          <w:rFonts w:ascii="宋体" w:hAnsi="宋体" w:cs="宋体"/>
                          <w:color w:val="FFFFFF" w:themeColor="background1"/>
                          <w:sz w:val="24"/>
                          <w:szCs w:val="32"/>
                        </w:rPr>
                      </w:pPr>
                    </w:p>
                  </w:txbxContent>
                </v:textbox>
              </v:shape>
            </w:pict>
          </mc:Fallback>
        </mc:AlternateContent>
      </w:r>
    </w:p>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Pr>
        <w:spacing w:line="440" w:lineRule="exact"/>
        <w:jc w:val="left"/>
        <w:rPr>
          <w:rFonts w:ascii="微软雅黑" w:eastAsia="微软雅黑" w:hAnsi="微软雅黑" w:cs="微软雅黑"/>
          <w:b/>
          <w:color w:val="0070C0"/>
          <w:sz w:val="24"/>
          <w:szCs w:val="24"/>
        </w:rPr>
      </w:pPr>
    </w:p>
    <w:p w:rsidR="00024555" w:rsidRDefault="004F7B75">
      <w:pPr>
        <w:spacing w:line="440" w:lineRule="exact"/>
        <w:jc w:val="left"/>
        <w:rPr>
          <w:rFonts w:ascii="宋体" w:hAnsi="宋体" w:cs="宋体"/>
          <w:b/>
          <w:bCs/>
          <w:color w:val="353535"/>
          <w:szCs w:val="21"/>
        </w:rPr>
      </w:pPr>
      <w:r>
        <w:rPr>
          <w:rFonts w:ascii="微软雅黑" w:eastAsia="微软雅黑" w:hAnsi="微软雅黑" w:cs="微软雅黑" w:hint="eastAsia"/>
          <w:b/>
          <w:color w:val="C00000"/>
          <w:sz w:val="24"/>
          <w:szCs w:val="24"/>
        </w:rPr>
        <w:lastRenderedPageBreak/>
        <w:t xml:space="preserve">| </w:t>
      </w:r>
      <w:r>
        <w:rPr>
          <w:rFonts w:ascii="微软雅黑" w:eastAsia="微软雅黑" w:hAnsi="微软雅黑" w:cs="微软雅黑" w:hint="eastAsia"/>
          <w:b/>
          <w:color w:val="C00000"/>
          <w:sz w:val="24"/>
          <w:szCs w:val="24"/>
        </w:rPr>
        <w:t>课程背景：</w:t>
      </w: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销售团队的培养，对组织的价值，对客户的价值都是不言而喻的，但是在中国这片热土上，销售这门深刻的学问才刚刚起步，大多数销售还是在以产品为中心，以关系为中心，在大多数组织里面，销售也与“天分”结合在了一起，认为好的销售是非常难以培养的。</w:t>
      </w:r>
    </w:p>
    <w:p w:rsidR="00024555" w:rsidRDefault="00024555">
      <w:pPr>
        <w:spacing w:line="440" w:lineRule="exact"/>
        <w:rPr>
          <w:rFonts w:ascii="微软雅黑" w:eastAsia="微软雅黑" w:hAnsi="微软雅黑" w:cs="微软雅黑"/>
          <w:color w:val="3F3F3F"/>
          <w:sz w:val="20"/>
        </w:rPr>
      </w:pP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在大项目销售，尤其金额高的复杂项目中，项目周期比较长、牵涉采购链条人员复杂，以关系为中心的销售方法会带来很多连带的麻烦，对整体项目的</w:t>
      </w:r>
      <w:proofErr w:type="gramStart"/>
      <w:r>
        <w:rPr>
          <w:rFonts w:ascii="微软雅黑" w:eastAsia="微软雅黑" w:hAnsi="微软雅黑" w:cs="微软雅黑" w:hint="eastAsia"/>
          <w:color w:val="3F3F3F"/>
          <w:sz w:val="20"/>
        </w:rPr>
        <w:t>把控则需要</w:t>
      </w:r>
      <w:proofErr w:type="gramEnd"/>
      <w:r>
        <w:rPr>
          <w:rFonts w:ascii="微软雅黑" w:eastAsia="微软雅黑" w:hAnsi="微软雅黑" w:cs="微软雅黑" w:hint="eastAsia"/>
          <w:color w:val="3F3F3F"/>
          <w:sz w:val="20"/>
        </w:rPr>
        <w:t>有更加完善的销售管理行为，正确的策略比具体方法更加重要，对每一个项目进行定位，找到客户、竞争者和我们的机会处在什么位置，《策略销售》中蓝表的有效使用和系列案例结合将会为大项目销售提策略制定的良方。</w:t>
      </w:r>
    </w:p>
    <w:p w:rsidR="00024555" w:rsidRDefault="00024555">
      <w:pPr>
        <w:spacing w:line="440" w:lineRule="exact"/>
        <w:rPr>
          <w:rFonts w:ascii="微软雅黑" w:eastAsia="微软雅黑" w:hAnsi="微软雅黑" w:cs="微软雅黑"/>
          <w:b/>
          <w:color w:val="C00000"/>
          <w:sz w:val="24"/>
          <w:szCs w:val="24"/>
        </w:rPr>
      </w:pPr>
    </w:p>
    <w:p w:rsidR="00024555" w:rsidRDefault="004F7B75">
      <w:pPr>
        <w:spacing w:line="440" w:lineRule="exac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课程</w:t>
      </w:r>
      <w:r>
        <w:rPr>
          <w:rFonts w:ascii="微软雅黑" w:eastAsia="微软雅黑" w:hAnsi="微软雅黑" w:cs="微软雅黑" w:hint="eastAsia"/>
          <w:b/>
          <w:color w:val="C00000"/>
          <w:sz w:val="24"/>
          <w:szCs w:val="24"/>
        </w:rPr>
        <w:t>逻辑</w:t>
      </w:r>
      <w:r>
        <w:rPr>
          <w:rFonts w:ascii="微软雅黑" w:eastAsia="微软雅黑" w:hAnsi="微软雅黑" w:cs="微软雅黑" w:hint="eastAsia"/>
          <w:b/>
          <w:color w:val="C00000"/>
          <w:sz w:val="24"/>
          <w:szCs w:val="24"/>
        </w:rPr>
        <w:t>：</w:t>
      </w:r>
    </w:p>
    <w:p w:rsidR="00024555" w:rsidRDefault="004F7B75">
      <w:pPr>
        <w:spacing w:line="440" w:lineRule="exact"/>
        <w:rPr>
          <w:rFonts w:ascii="微软雅黑" w:eastAsia="微软雅黑" w:hAnsi="微软雅黑" w:cs="微软雅黑"/>
          <w:b/>
          <w:color w:val="C00000"/>
          <w:sz w:val="24"/>
          <w:szCs w:val="24"/>
        </w:rPr>
      </w:pPr>
      <w:r>
        <w:rPr>
          <w:noProof/>
        </w:rPr>
        <w:drawing>
          <wp:anchor distT="0" distB="0" distL="114300" distR="114300" simplePos="0" relativeHeight="251788288" behindDoc="0" locked="0" layoutInCell="1" allowOverlap="1">
            <wp:simplePos x="0" y="0"/>
            <wp:positionH relativeFrom="column">
              <wp:posOffset>164465</wp:posOffset>
            </wp:positionH>
            <wp:positionV relativeFrom="paragraph">
              <wp:posOffset>113665</wp:posOffset>
            </wp:positionV>
            <wp:extent cx="5324475" cy="2798445"/>
            <wp:effectExtent l="0" t="0" r="9525" b="190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24475" cy="2798445"/>
                    </a:xfrm>
                    <a:prstGeom prst="rect">
                      <a:avLst/>
                    </a:prstGeom>
                  </pic:spPr>
                </pic:pic>
              </a:graphicData>
            </a:graphic>
          </wp:anchor>
        </w:drawing>
      </w: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color w:val="0070C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024555">
      <w:pPr>
        <w:spacing w:line="440" w:lineRule="exact"/>
        <w:rPr>
          <w:rFonts w:ascii="微软雅黑" w:eastAsia="微软雅黑" w:hAnsi="微软雅黑" w:cs="微软雅黑"/>
          <w:b/>
          <w:color w:val="C00000"/>
          <w:sz w:val="24"/>
          <w:szCs w:val="24"/>
        </w:rPr>
      </w:pPr>
    </w:p>
    <w:p w:rsidR="00024555" w:rsidRDefault="004F7B75">
      <w:pPr>
        <w:spacing w:line="440" w:lineRule="exact"/>
        <w:rPr>
          <w:rFonts w:ascii="微软雅黑" w:eastAsia="微软雅黑" w:hAnsi="微软雅黑" w:cs="微软雅黑"/>
          <w:color w:val="C00000"/>
          <w:sz w:val="22"/>
          <w:szCs w:val="22"/>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课程目标：</w:t>
      </w:r>
    </w:p>
    <w:p w:rsidR="00024555" w:rsidRDefault="004F7B75">
      <w:pPr>
        <w:pStyle w:val="a8"/>
        <w:numPr>
          <w:ilvl w:val="0"/>
          <w:numId w:val="1"/>
        </w:numPr>
        <w:spacing w:line="44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建立一套复杂销售的订单运作与分析方法，使学员在不断变化的销售过程中，准确找到订单的突破点和订单致胜的方法，通过系</w:t>
      </w:r>
      <w:r>
        <w:rPr>
          <w:rFonts w:ascii="微软雅黑" w:eastAsia="微软雅黑" w:hAnsi="微软雅黑" w:cs="微软雅黑" w:hint="eastAsia"/>
          <w:color w:val="3F3F3F"/>
          <w:sz w:val="20"/>
        </w:rPr>
        <w:t>统化的控制减少错误的发生，用最小的成本，赢得订单，获得竞争优势。</w:t>
      </w:r>
    </w:p>
    <w:p w:rsidR="00024555" w:rsidRDefault="004F7B75">
      <w:pPr>
        <w:pStyle w:val="a8"/>
        <w:numPr>
          <w:ilvl w:val="0"/>
          <w:numId w:val="1"/>
        </w:numPr>
        <w:spacing w:line="44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同时为销售团队建立一个订单分析的标准和平台。让销售管理者的经验真正可以帮助销售人员赢取订单。</w:t>
      </w:r>
    </w:p>
    <w:p w:rsidR="00024555" w:rsidRDefault="00024555">
      <w:pPr>
        <w:spacing w:line="440" w:lineRule="exact"/>
        <w:rPr>
          <w:rFonts w:ascii="微软雅黑" w:eastAsia="微软雅黑" w:hAnsi="微软雅黑" w:cs="微软雅黑"/>
          <w:color w:val="3F3F3F"/>
          <w:sz w:val="20"/>
        </w:rPr>
      </w:pPr>
    </w:p>
    <w:p w:rsidR="00024555" w:rsidRDefault="004F7B75">
      <w:pPr>
        <w:spacing w:line="440" w:lineRule="exact"/>
        <w:jc w:val="left"/>
        <w:rPr>
          <w:rFonts w:ascii="微软雅黑" w:eastAsia="微软雅黑" w:hAnsi="微软雅黑" w:cs="微软雅黑"/>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b/>
          <w:color w:val="C00000"/>
          <w:sz w:val="24"/>
          <w:szCs w:val="24"/>
        </w:rPr>
        <w:t>课程</w:t>
      </w:r>
      <w:r>
        <w:rPr>
          <w:rFonts w:ascii="微软雅黑" w:eastAsia="微软雅黑" w:hAnsi="微软雅黑" w:cs="微软雅黑" w:hint="eastAsia"/>
          <w:b/>
          <w:color w:val="C00000"/>
          <w:sz w:val="24"/>
          <w:szCs w:val="24"/>
        </w:rPr>
        <w:t>大纲</w:t>
      </w:r>
      <w:r>
        <w:rPr>
          <w:rFonts w:ascii="微软雅黑" w:eastAsia="微软雅黑" w:hAnsi="微软雅黑" w:cs="微软雅黑" w:hint="eastAsia"/>
          <w:b/>
          <w:color w:val="C00000"/>
          <w:sz w:val="24"/>
          <w:szCs w:val="24"/>
        </w:rPr>
        <w:t>：</w:t>
      </w:r>
      <w:r>
        <w:rPr>
          <w:rFonts w:ascii="微软雅黑" w:eastAsia="微软雅黑" w:hAnsi="微软雅黑" w:cs="微软雅黑" w:hint="eastAsia"/>
          <w:b/>
          <w:color w:val="C00000"/>
          <w:sz w:val="24"/>
          <w:szCs w:val="24"/>
        </w:rPr>
        <w:t xml:space="preserve"> </w:t>
      </w:r>
    </w:p>
    <w:p w:rsidR="00024555" w:rsidRDefault="004F7B75">
      <w:pPr>
        <w:spacing w:line="440" w:lineRule="exact"/>
        <w:rPr>
          <w:rFonts w:ascii="微软雅黑" w:eastAsia="微软雅黑" w:hAnsi="微软雅黑" w:cs="微软雅黑"/>
          <w:bCs/>
          <w:color w:val="0070C0"/>
          <w:sz w:val="20"/>
        </w:rPr>
      </w:pPr>
      <w:r>
        <w:rPr>
          <w:rFonts w:ascii="微软雅黑" w:eastAsia="微软雅黑" w:hAnsi="微软雅黑" w:cs="微软雅黑" w:hint="eastAsia"/>
          <w:bCs/>
          <w:color w:val="0070C0"/>
          <w:sz w:val="20"/>
        </w:rPr>
        <w:lastRenderedPageBreak/>
        <w:t>第一模块：课程导入</w:t>
      </w: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为什么要通过策略销售制定销售策略</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复杂销售的特点分析：你不能仅凭经验决策</w:t>
      </w: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策略销售的制定步骤</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策略销售的作用</w:t>
      </w:r>
    </w:p>
    <w:p w:rsidR="00024555" w:rsidRDefault="00024555">
      <w:pPr>
        <w:spacing w:line="440" w:lineRule="exact"/>
        <w:rPr>
          <w:rFonts w:ascii="微软雅黑" w:eastAsia="微软雅黑" w:hAnsi="微软雅黑" w:cs="微软雅黑"/>
          <w:color w:val="3F3F3F"/>
          <w:sz w:val="20"/>
        </w:rPr>
      </w:pPr>
    </w:p>
    <w:p w:rsidR="00024555" w:rsidRDefault="004F7B75">
      <w:pPr>
        <w:spacing w:line="440" w:lineRule="exact"/>
        <w:rPr>
          <w:rFonts w:ascii="微软雅黑" w:eastAsia="微软雅黑" w:hAnsi="微软雅黑" w:cs="微软雅黑"/>
          <w:color w:val="0070C0"/>
          <w:sz w:val="20"/>
        </w:rPr>
      </w:pPr>
      <w:r>
        <w:rPr>
          <w:rFonts w:ascii="微软雅黑" w:eastAsia="微软雅黑" w:hAnsi="微软雅黑" w:cs="微软雅黑" w:hint="eastAsia"/>
          <w:bCs/>
          <w:color w:val="0070C0"/>
          <w:sz w:val="20"/>
        </w:rPr>
        <w:t>第二模块：辨识要素</w:t>
      </w: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认识策略要素</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理解策略要素</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提炼策略要素</w:t>
      </w:r>
    </w:p>
    <w:p w:rsidR="00024555" w:rsidRDefault="00024555">
      <w:pPr>
        <w:spacing w:line="440" w:lineRule="exact"/>
        <w:rPr>
          <w:rFonts w:ascii="微软雅黑" w:eastAsia="微软雅黑" w:hAnsi="微软雅黑" w:cs="微软雅黑"/>
          <w:color w:val="3F3F3F"/>
          <w:sz w:val="20"/>
        </w:rPr>
      </w:pPr>
    </w:p>
    <w:p w:rsidR="00024555" w:rsidRDefault="004F7B75">
      <w:pPr>
        <w:spacing w:line="440" w:lineRule="exact"/>
        <w:rPr>
          <w:rFonts w:ascii="微软雅黑" w:eastAsia="微软雅黑" w:hAnsi="微软雅黑" w:cs="微软雅黑"/>
          <w:bCs/>
          <w:color w:val="0070C0"/>
          <w:sz w:val="20"/>
        </w:rPr>
      </w:pPr>
      <w:r>
        <w:rPr>
          <w:rFonts w:ascii="微软雅黑" w:eastAsia="微软雅黑" w:hAnsi="微软雅黑" w:cs="微软雅黑" w:hint="eastAsia"/>
          <w:bCs/>
          <w:color w:val="0070C0"/>
          <w:sz w:val="20"/>
        </w:rPr>
        <w:t>第三模块：评估订单</w:t>
      </w: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评估原则与角度</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定位</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竞争</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理想客户</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时间漏斗</w:t>
      </w: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优势与风险</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评估订单</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结合给定的案例，分析此订单中的优势和风险</w:t>
      </w:r>
    </w:p>
    <w:p w:rsidR="00024555" w:rsidRDefault="00024555">
      <w:pPr>
        <w:spacing w:line="440" w:lineRule="exact"/>
        <w:rPr>
          <w:rFonts w:ascii="微软雅黑" w:eastAsia="微软雅黑" w:hAnsi="微软雅黑" w:cs="微软雅黑"/>
          <w:bCs/>
          <w:color w:val="0070C0"/>
          <w:sz w:val="20"/>
        </w:rPr>
      </w:pPr>
    </w:p>
    <w:p w:rsidR="00024555" w:rsidRDefault="004F7B75">
      <w:pPr>
        <w:spacing w:line="440" w:lineRule="exact"/>
        <w:rPr>
          <w:rFonts w:ascii="微软雅黑" w:eastAsia="微软雅黑" w:hAnsi="微软雅黑" w:cs="微软雅黑"/>
          <w:bCs/>
          <w:color w:val="0070C0"/>
          <w:sz w:val="20"/>
        </w:rPr>
      </w:pPr>
      <w:r>
        <w:rPr>
          <w:rFonts w:ascii="微软雅黑" w:eastAsia="微软雅黑" w:hAnsi="微软雅黑" w:cs="微软雅黑" w:hint="eastAsia"/>
          <w:bCs/>
          <w:color w:val="0070C0"/>
          <w:sz w:val="20"/>
        </w:rPr>
        <w:t>第四模块：策略制定</w:t>
      </w:r>
      <w:proofErr w:type="gramStart"/>
      <w:r>
        <w:rPr>
          <w:rFonts w:ascii="微软雅黑" w:eastAsia="微软雅黑" w:hAnsi="微软雅黑" w:cs="微软雅黑" w:hint="eastAsia"/>
          <w:bCs/>
          <w:color w:val="0070C0"/>
          <w:sz w:val="20"/>
        </w:rPr>
        <w:t>—找到</w:t>
      </w:r>
      <w:proofErr w:type="gramEnd"/>
      <w:r>
        <w:rPr>
          <w:rFonts w:ascii="微软雅黑" w:eastAsia="微软雅黑" w:hAnsi="微软雅黑" w:cs="微软雅黑" w:hint="eastAsia"/>
          <w:bCs/>
          <w:color w:val="0070C0"/>
          <w:sz w:val="20"/>
        </w:rPr>
        <w:t>制胜的策略</w:t>
      </w:r>
    </w:p>
    <w:p w:rsidR="00024555" w:rsidRDefault="004F7B75">
      <w:pPr>
        <w:spacing w:line="44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制定策略的原则</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筛选策略</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检查策略</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制定计划</w:t>
      </w:r>
    </w:p>
    <w:p w:rsidR="00024555" w:rsidRDefault="004F7B75">
      <w:pPr>
        <w:spacing w:line="440" w:lineRule="exact"/>
        <w:rPr>
          <w:rFonts w:ascii="微软雅黑" w:eastAsia="微软雅黑" w:hAnsi="微软雅黑" w:cs="微软雅黑"/>
          <w:bCs/>
          <w:color w:val="0070C0"/>
          <w:sz w:val="20"/>
        </w:rPr>
      </w:pPr>
      <w:r>
        <w:rPr>
          <w:rFonts w:ascii="微软雅黑" w:eastAsia="微软雅黑" w:hAnsi="微软雅黑" w:cs="微软雅黑" w:hint="eastAsia"/>
          <w:bCs/>
          <w:color w:val="0070C0"/>
          <w:sz w:val="20"/>
        </w:rPr>
        <w:t>第五模块：总结</w:t>
      </w:r>
    </w:p>
    <w:p w:rsidR="00024555" w:rsidRDefault="004F7B75">
      <w:pPr>
        <w:spacing w:line="44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一个原则</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双赢思想</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三个步骤</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四个要素</w:t>
      </w:r>
      <w:r>
        <w:rPr>
          <w:rFonts w:ascii="微软雅黑" w:eastAsia="微软雅黑" w:hAnsi="微软雅黑" w:cs="微软雅黑" w:hint="eastAsia"/>
          <w:color w:val="3F3F3F"/>
          <w:sz w:val="20"/>
        </w:rPr>
        <w:t xml:space="preserve">     - </w:t>
      </w:r>
      <w:r>
        <w:rPr>
          <w:rFonts w:ascii="微软雅黑" w:eastAsia="微软雅黑" w:hAnsi="微软雅黑" w:cs="微软雅黑" w:hint="eastAsia"/>
          <w:color w:val="3F3F3F"/>
          <w:sz w:val="20"/>
        </w:rPr>
        <w:t>五个特点</w:t>
      </w:r>
      <w:r>
        <w:rPr>
          <w:rFonts w:ascii="微软雅黑" w:eastAsia="微软雅黑" w:hAnsi="微软雅黑" w:cs="微软雅黑" w:hint="eastAsia"/>
          <w:color w:val="FFFFFF"/>
          <w:sz w:val="20"/>
        </w:rPr>
        <w:t>组</w:t>
      </w:r>
    </w:p>
    <w:p w:rsidR="00024555" w:rsidRDefault="00024555">
      <w:pPr>
        <w:spacing w:line="440" w:lineRule="exact"/>
        <w:jc w:val="left"/>
        <w:rPr>
          <w:rFonts w:ascii="微软雅黑" w:eastAsia="微软雅黑" w:hAnsi="微软雅黑" w:cs="微软雅黑"/>
          <w:b/>
          <w:color w:val="C00000"/>
          <w:sz w:val="24"/>
          <w:szCs w:val="24"/>
        </w:rPr>
      </w:pPr>
    </w:p>
    <w:p w:rsidR="00024555" w:rsidRDefault="004F7B75">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讲师介绍：</w:t>
      </w:r>
    </w:p>
    <w:p w:rsidR="00024555" w:rsidRDefault="004F7B75">
      <w:pPr>
        <w:spacing w:line="440" w:lineRule="exact"/>
        <w:jc w:val="left"/>
        <w:rPr>
          <w:rFonts w:ascii="微软雅黑" w:eastAsia="微软雅黑" w:hAnsi="微软雅黑" w:cs="微软雅黑"/>
          <w:b/>
          <w:color w:val="0070C0"/>
          <w:sz w:val="24"/>
          <w:szCs w:val="24"/>
        </w:rPr>
      </w:pPr>
      <w:r>
        <w:rPr>
          <w:rFonts w:ascii="微软雅黑" w:eastAsia="微软雅黑" w:hAnsi="微软雅黑" w:cs="微软雅黑"/>
          <w:noProof/>
          <w:color w:val="3F3F3F"/>
          <w:sz w:val="22"/>
          <w:szCs w:val="22"/>
        </w:rPr>
        <mc:AlternateContent>
          <mc:Choice Requires="wps">
            <w:drawing>
              <wp:anchor distT="0" distB="0" distL="114300" distR="114300" simplePos="0" relativeHeight="253560832" behindDoc="0" locked="0" layoutInCell="1" allowOverlap="1">
                <wp:simplePos x="0" y="0"/>
                <wp:positionH relativeFrom="column">
                  <wp:posOffset>1463040</wp:posOffset>
                </wp:positionH>
                <wp:positionV relativeFrom="paragraph">
                  <wp:posOffset>149860</wp:posOffset>
                </wp:positionV>
                <wp:extent cx="4268470" cy="570547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8470" cy="5705475"/>
                        </a:xfrm>
                        <a:prstGeom prst="rect">
                          <a:avLst/>
                        </a:prstGeom>
                        <a:noFill/>
                        <a:ln>
                          <a:noFill/>
                        </a:ln>
                        <a:effectLst/>
                      </wps:spPr>
                      <wps:txbx>
                        <w:txbxContent>
                          <w:p w:rsidR="00024555" w:rsidRDefault="004F7B75">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崔</w:t>
                            </w:r>
                            <w:r>
                              <w:rPr>
                                <w:rFonts w:ascii="微软雅黑" w:eastAsia="微软雅黑" w:hAnsi="微软雅黑" w:cs="微软雅黑" w:hint="eastAsia"/>
                                <w:b/>
                                <w:bCs/>
                                <w:color w:val="000000"/>
                                <w:sz w:val="28"/>
                                <w:szCs w:val="24"/>
                              </w:rPr>
                              <w:t>老师</w:t>
                            </w:r>
                          </w:p>
                          <w:p w:rsidR="00024555" w:rsidRDefault="004F7B75">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原浪潮集团产品市场部总经理／原用友集团大客户经理</w:t>
                            </w:r>
                          </w:p>
                          <w:p w:rsidR="00024555" w:rsidRDefault="004F7B75">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《销售与市场》、《商界评论》专栏作家／《纵横》、《通关》畅销书作者</w:t>
                            </w:r>
                          </w:p>
                          <w:p w:rsidR="00024555" w:rsidRDefault="00024555">
                            <w:pPr>
                              <w:spacing w:line="320" w:lineRule="exact"/>
                              <w:rPr>
                                <w:rFonts w:ascii="微软雅黑" w:eastAsia="微软雅黑" w:hAnsi="微软雅黑" w:cs="微软雅黑"/>
                                <w:b/>
                                <w:bCs/>
                                <w:color w:val="002060"/>
                                <w:sz w:val="20"/>
                                <w:szCs w:val="18"/>
                              </w:rPr>
                            </w:pPr>
                          </w:p>
                          <w:p w:rsidR="00024555" w:rsidRDefault="004F7B75">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从事销售工作十五年，曾任北京用友集团有限公司渠道经理、大客户经理等职位。作为销售精英，参与过上千小型项目、主导过数百个大型项目的销售和售前，带领多个营销团队取得过辉煌的业绩。他擅长将销售理念、方法在自己的销售实践中不断地深化、细化和完善；形成了一套针对中国市场的系统化、体系化的销售方法。这些方法经过几千名客户经理和项目的锤炼，证明是一套可复制的、高效的、高价值的销售策略。</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024555" w:rsidRDefault="004F7B75">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顾问式销售：加速成交的摆放流程与技巧、策略销售：大项目的策略分析与策略制定等。</w:t>
                            </w:r>
                          </w:p>
                          <w:p w:rsidR="00024555" w:rsidRDefault="00024555">
                            <w:pPr>
                              <w:spacing w:line="320" w:lineRule="exact"/>
                              <w:rPr>
                                <w:rFonts w:ascii="微软雅黑" w:eastAsia="微软雅黑" w:hAnsi="微软雅黑" w:cs="微软雅黑"/>
                                <w:color w:val="333333"/>
                                <w:sz w:val="18"/>
                                <w:szCs w:val="16"/>
                              </w:rPr>
                            </w:pPr>
                          </w:p>
                          <w:p w:rsidR="00024555" w:rsidRDefault="004F7B75">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金螳螂、</w:t>
                            </w:r>
                            <w:r>
                              <w:rPr>
                                <w:rFonts w:ascii="微软雅黑" w:eastAsia="微软雅黑" w:hAnsi="微软雅黑" w:cs="微软雅黑" w:hint="eastAsia"/>
                                <w:color w:val="333333"/>
                                <w:sz w:val="18"/>
                                <w:szCs w:val="16"/>
                              </w:rPr>
                              <w:t>CCDI</w:t>
                            </w:r>
                            <w:r>
                              <w:rPr>
                                <w:rFonts w:ascii="微软雅黑" w:eastAsia="微软雅黑" w:hAnsi="微软雅黑" w:cs="微软雅黑" w:hint="eastAsia"/>
                                <w:color w:val="333333"/>
                                <w:sz w:val="18"/>
                                <w:szCs w:val="16"/>
                              </w:rPr>
                              <w:t>、奔驰卡车、远东集团、杨翔股份、</w:t>
                            </w:r>
                            <w:proofErr w:type="gramStart"/>
                            <w:r>
                              <w:rPr>
                                <w:rFonts w:ascii="微软雅黑" w:eastAsia="微软雅黑" w:hAnsi="微软雅黑" w:cs="微软雅黑" w:hint="eastAsia"/>
                                <w:color w:val="333333"/>
                                <w:sz w:val="18"/>
                                <w:szCs w:val="16"/>
                              </w:rPr>
                              <w:t>宏展饲料</w:t>
                            </w:r>
                            <w:proofErr w:type="gramEnd"/>
                            <w:r>
                              <w:rPr>
                                <w:rFonts w:ascii="微软雅黑" w:eastAsia="微软雅黑" w:hAnsi="微软雅黑" w:cs="微软雅黑" w:hint="eastAsia"/>
                                <w:color w:val="333333"/>
                                <w:sz w:val="18"/>
                                <w:szCs w:val="16"/>
                              </w:rPr>
                              <w:t>、新大陆信息、上海二六三通信、科</w:t>
                            </w:r>
                            <w:proofErr w:type="gramStart"/>
                            <w:r>
                              <w:rPr>
                                <w:rFonts w:ascii="微软雅黑" w:eastAsia="微软雅黑" w:hAnsi="微软雅黑" w:cs="微软雅黑" w:hint="eastAsia"/>
                                <w:color w:val="333333"/>
                                <w:sz w:val="18"/>
                                <w:szCs w:val="16"/>
                              </w:rPr>
                              <w:t>华恒</w:t>
                            </w:r>
                            <w:proofErr w:type="gramEnd"/>
                            <w:r>
                              <w:rPr>
                                <w:rFonts w:ascii="微软雅黑" w:eastAsia="微软雅黑" w:hAnsi="微软雅黑" w:cs="微软雅黑" w:hint="eastAsia"/>
                                <w:color w:val="333333"/>
                                <w:sz w:val="18"/>
                                <w:szCs w:val="16"/>
                              </w:rPr>
                              <w:t>盛、比德文控股、北美枫情、爱树信息、</w:t>
                            </w:r>
                            <w:proofErr w:type="gramStart"/>
                            <w:r>
                              <w:rPr>
                                <w:rFonts w:ascii="微软雅黑" w:eastAsia="微软雅黑" w:hAnsi="微软雅黑" w:cs="微软雅黑" w:hint="eastAsia"/>
                                <w:color w:val="333333"/>
                                <w:sz w:val="18"/>
                                <w:szCs w:val="16"/>
                              </w:rPr>
                              <w:t>广州视源电</w:t>
                            </w:r>
                            <w:proofErr w:type="gramEnd"/>
                            <w:r>
                              <w:rPr>
                                <w:rFonts w:ascii="微软雅黑" w:eastAsia="微软雅黑" w:hAnsi="微软雅黑" w:cs="微软雅黑" w:hint="eastAsia"/>
                                <w:color w:val="333333"/>
                                <w:sz w:val="18"/>
                                <w:szCs w:val="16"/>
                              </w:rPr>
                              <w:t>子、亘泰集团、焦点科技、嘉宝莉化工等主流企业。</w:t>
                            </w:r>
                          </w:p>
                        </w:txbxContent>
                      </wps:txbx>
                      <wps:bodyPr rot="0" vert="horz" wrap="square" lIns="91437" tIns="45720" rIns="91437" bIns="45720" anchor="t" anchorCtr="0" upright="1">
                        <a:noAutofit/>
                      </wps:bodyPr>
                    </wps:wsp>
                  </a:graphicData>
                </a:graphic>
              </wp:anchor>
            </w:drawing>
          </mc:Choice>
          <mc:Fallback>
            <w:pict>
              <v:shape id="文本框 20" o:spid="_x0000_s1028" type="#_x0000_t202" style="position:absolute;margin-left:115.2pt;margin-top:11.8pt;width:336.1pt;height:449.25pt;z-index:2535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" filled="f" stroked="f">
                <v:textbox inset="2.53992mm,,2.53992mm">
                  <w:txbxContent>
                    <w:p w:rsidR="00024555" w:rsidRDefault="004F7B75">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崔</w:t>
                      </w:r>
                      <w:r>
                        <w:rPr>
                          <w:rFonts w:ascii="微软雅黑" w:eastAsia="微软雅黑" w:hAnsi="微软雅黑" w:cs="微软雅黑" w:hint="eastAsia"/>
                          <w:b/>
                          <w:bCs/>
                          <w:color w:val="000000"/>
                          <w:sz w:val="28"/>
                          <w:szCs w:val="24"/>
                        </w:rPr>
                        <w:t>老师</w:t>
                      </w:r>
                    </w:p>
                    <w:p w:rsidR="00024555" w:rsidRDefault="004F7B75">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原浪潮集团产品市场部总经理／原用友集团大客户经理</w:t>
                      </w:r>
                    </w:p>
                    <w:p w:rsidR="00024555" w:rsidRDefault="004F7B75">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《销售与市场》、《商界评论》专栏作家／《纵横》、《通关》畅销书作者</w:t>
                      </w:r>
                    </w:p>
                    <w:p w:rsidR="00024555" w:rsidRDefault="00024555">
                      <w:pPr>
                        <w:spacing w:line="320" w:lineRule="exact"/>
                        <w:rPr>
                          <w:rFonts w:ascii="微软雅黑" w:eastAsia="微软雅黑" w:hAnsi="微软雅黑" w:cs="微软雅黑"/>
                          <w:b/>
                          <w:bCs/>
                          <w:color w:val="002060"/>
                          <w:sz w:val="20"/>
                          <w:szCs w:val="18"/>
                        </w:rPr>
                      </w:pPr>
                    </w:p>
                    <w:p w:rsidR="00024555" w:rsidRDefault="004F7B75">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从事销售工作十五年，曾任北京用友集团有限公司渠道经理、大客户经理等职位。作为销售精英，参与过上千小型项目、主导过数百个大型项目的销售和售前，带领多个营销团队取得过辉煌的业绩。他擅长将销售理念、方法在自己的销售实践中不断地深化、细化和完善；形成了一套针对中国市场的系统化、体系化的销售方法。这些方法经过几千名客户经理和项目的锤炼，证明是一套可复制的、高效的、高价值的销售策略。</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024555" w:rsidRDefault="004F7B75">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顾问式销售：加速成交的摆放流程与技巧、策略销售：大项目的策略分析与策略制定等。</w:t>
                      </w:r>
                    </w:p>
                    <w:p w:rsidR="00024555" w:rsidRDefault="00024555">
                      <w:pPr>
                        <w:spacing w:line="320" w:lineRule="exact"/>
                        <w:rPr>
                          <w:rFonts w:ascii="微软雅黑" w:eastAsia="微软雅黑" w:hAnsi="微软雅黑" w:cs="微软雅黑"/>
                          <w:color w:val="333333"/>
                          <w:sz w:val="18"/>
                          <w:szCs w:val="16"/>
                        </w:rPr>
                      </w:pPr>
                    </w:p>
                    <w:p w:rsidR="00024555" w:rsidRDefault="004F7B75">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024555" w:rsidRDefault="004F7B75">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金螳螂、</w:t>
                      </w:r>
                      <w:r>
                        <w:rPr>
                          <w:rFonts w:ascii="微软雅黑" w:eastAsia="微软雅黑" w:hAnsi="微软雅黑" w:cs="微软雅黑" w:hint="eastAsia"/>
                          <w:color w:val="333333"/>
                          <w:sz w:val="18"/>
                          <w:szCs w:val="16"/>
                        </w:rPr>
                        <w:t>CCDI</w:t>
                      </w:r>
                      <w:r>
                        <w:rPr>
                          <w:rFonts w:ascii="微软雅黑" w:eastAsia="微软雅黑" w:hAnsi="微软雅黑" w:cs="微软雅黑" w:hint="eastAsia"/>
                          <w:color w:val="333333"/>
                          <w:sz w:val="18"/>
                          <w:szCs w:val="16"/>
                        </w:rPr>
                        <w:t>、奔驰卡车、远东集团、杨翔股份、</w:t>
                      </w:r>
                      <w:proofErr w:type="gramStart"/>
                      <w:r>
                        <w:rPr>
                          <w:rFonts w:ascii="微软雅黑" w:eastAsia="微软雅黑" w:hAnsi="微软雅黑" w:cs="微软雅黑" w:hint="eastAsia"/>
                          <w:color w:val="333333"/>
                          <w:sz w:val="18"/>
                          <w:szCs w:val="16"/>
                        </w:rPr>
                        <w:t>宏展饲料</w:t>
                      </w:r>
                      <w:proofErr w:type="gramEnd"/>
                      <w:r>
                        <w:rPr>
                          <w:rFonts w:ascii="微软雅黑" w:eastAsia="微软雅黑" w:hAnsi="微软雅黑" w:cs="微软雅黑" w:hint="eastAsia"/>
                          <w:color w:val="333333"/>
                          <w:sz w:val="18"/>
                          <w:szCs w:val="16"/>
                        </w:rPr>
                        <w:t>、新大陆信息、上海二六三通信、科</w:t>
                      </w:r>
                      <w:proofErr w:type="gramStart"/>
                      <w:r>
                        <w:rPr>
                          <w:rFonts w:ascii="微软雅黑" w:eastAsia="微软雅黑" w:hAnsi="微软雅黑" w:cs="微软雅黑" w:hint="eastAsia"/>
                          <w:color w:val="333333"/>
                          <w:sz w:val="18"/>
                          <w:szCs w:val="16"/>
                        </w:rPr>
                        <w:t>华恒</w:t>
                      </w:r>
                      <w:proofErr w:type="gramEnd"/>
                      <w:r>
                        <w:rPr>
                          <w:rFonts w:ascii="微软雅黑" w:eastAsia="微软雅黑" w:hAnsi="微软雅黑" w:cs="微软雅黑" w:hint="eastAsia"/>
                          <w:color w:val="333333"/>
                          <w:sz w:val="18"/>
                          <w:szCs w:val="16"/>
                        </w:rPr>
                        <w:t>盛、比德文控股、北美枫情、爱树信息、</w:t>
                      </w:r>
                      <w:proofErr w:type="gramStart"/>
                      <w:r>
                        <w:rPr>
                          <w:rFonts w:ascii="微软雅黑" w:eastAsia="微软雅黑" w:hAnsi="微软雅黑" w:cs="微软雅黑" w:hint="eastAsia"/>
                          <w:color w:val="333333"/>
                          <w:sz w:val="18"/>
                          <w:szCs w:val="16"/>
                        </w:rPr>
                        <w:t>广州视源电</w:t>
                      </w:r>
                      <w:proofErr w:type="gramEnd"/>
                      <w:r>
                        <w:rPr>
                          <w:rFonts w:ascii="微软雅黑" w:eastAsia="微软雅黑" w:hAnsi="微软雅黑" w:cs="微软雅黑" w:hint="eastAsia"/>
                          <w:color w:val="333333"/>
                          <w:sz w:val="18"/>
                          <w:szCs w:val="16"/>
                        </w:rPr>
                        <w:t>子、亘泰集团、焦点科技、嘉宝莉化工等主流企业。</w:t>
                      </w:r>
                    </w:p>
                  </w:txbxContent>
                </v:textbox>
              </v:shape>
            </w:pict>
          </mc:Fallback>
        </mc:AlternateContent>
      </w:r>
      <w:r>
        <w:rPr>
          <w:noProof/>
        </w:rPr>
        <w:drawing>
          <wp:anchor distT="0" distB="0" distL="114300" distR="114300" simplePos="0" relativeHeight="253434880" behindDoc="0" locked="0" layoutInCell="1" allowOverlap="1">
            <wp:simplePos x="0" y="0"/>
            <wp:positionH relativeFrom="column">
              <wp:posOffset>-137795</wp:posOffset>
            </wp:positionH>
            <wp:positionV relativeFrom="paragraph">
              <wp:posOffset>212090</wp:posOffset>
            </wp:positionV>
            <wp:extent cx="1271270" cy="1257300"/>
            <wp:effectExtent l="0" t="0" r="5080" b="0"/>
            <wp:wrapNone/>
            <wp:docPr id="2" name="图片 2" descr="../../Documents/geonol/讲师资料/讲师照片/专家头像/崔老师（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uments/geonol/讲师资料/讲师照片/专家头像/崔老师（圆）.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71270" cy="1257300"/>
                    </a:xfrm>
                    <a:prstGeom prst="rect">
                      <a:avLst/>
                    </a:prstGeom>
                    <a:noFill/>
                    <a:ln>
                      <a:noFill/>
                    </a:ln>
                  </pic:spPr>
                </pic:pic>
              </a:graphicData>
            </a:graphic>
          </wp:anchor>
        </w:drawing>
      </w: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tbl>
      <w:tblPr>
        <w:tblW w:w="10093" w:type="dxa"/>
        <w:jc w:val="center"/>
        <w:tblLayout w:type="fixed"/>
        <w:tblLook w:val="04A0" w:firstRow="1" w:lastRow="0" w:firstColumn="1" w:lastColumn="0" w:noHBand="0" w:noVBand="1"/>
      </w:tblPr>
      <w:tblGrid>
        <w:gridCol w:w="1567"/>
        <w:gridCol w:w="959"/>
        <w:gridCol w:w="2038"/>
        <w:gridCol w:w="2947"/>
        <w:gridCol w:w="1110"/>
        <w:gridCol w:w="1472"/>
      </w:tblGrid>
      <w:tr w:rsidR="00024555">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C00000"/>
            <w:vAlign w:val="center"/>
          </w:tcPr>
          <w:p w:rsidR="00024555" w:rsidRDefault="004F7B75">
            <w:pPr>
              <w:spacing w:line="600" w:lineRule="exact"/>
              <w:jc w:val="center"/>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lastRenderedPageBreak/>
              <w:t>《</w:t>
            </w:r>
            <w:r>
              <w:rPr>
                <w:rFonts w:ascii="微软雅黑" w:eastAsia="微软雅黑" w:hAnsi="微软雅黑" w:hint="eastAsia"/>
                <w:bCs/>
                <w:color w:val="FFFFFF" w:themeColor="background1"/>
                <w:sz w:val="32"/>
                <w:szCs w:val="32"/>
              </w:rPr>
              <w:t>GMDP</w:t>
            </w:r>
            <w:r>
              <w:rPr>
                <w:rFonts w:ascii="微软雅黑" w:eastAsia="微软雅黑" w:hAnsi="微软雅黑" w:hint="eastAsia"/>
                <w:bCs/>
                <w:color w:val="FFFFFF" w:themeColor="background1"/>
                <w:sz w:val="32"/>
                <w:szCs w:val="32"/>
              </w:rPr>
              <w:t>总经理发展计划：战略与执行》</w:t>
            </w:r>
          </w:p>
          <w:p w:rsidR="00024555" w:rsidRDefault="004F7B75">
            <w:pPr>
              <w:spacing w:line="600" w:lineRule="exact"/>
              <w:jc w:val="center"/>
              <w:rPr>
                <w:rFonts w:ascii="微软雅黑" w:eastAsia="微软雅黑" w:hAnsi="微软雅黑"/>
                <w:b/>
                <w:color w:val="FFFFFF" w:themeColor="background1"/>
                <w:sz w:val="32"/>
              </w:rPr>
            </w:pPr>
            <w:r>
              <w:rPr>
                <w:rFonts w:ascii="微软雅黑" w:eastAsia="微软雅黑" w:hAnsi="微软雅黑" w:hint="eastAsia"/>
                <w:bCs/>
                <w:color w:val="FFFFFF" w:themeColor="background1"/>
                <w:sz w:val="32"/>
                <w:szCs w:val="32"/>
              </w:rPr>
              <w:t>报名表</w:t>
            </w:r>
          </w:p>
        </w:tc>
      </w:tr>
      <w:tr w:rsidR="00024555">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支付汇款</w:t>
            </w:r>
          </w:p>
        </w:tc>
      </w:tr>
      <w:tr w:rsidR="00024555">
        <w:trPr>
          <w:trHeight w:val="1002"/>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汇款账户：</w:t>
            </w:r>
          </w:p>
          <w:p w:rsidR="00024555" w:rsidRDefault="004F7B75">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单位名称：上海乔诺企业管理咨询有限公司</w:t>
            </w:r>
          </w:p>
          <w:p w:rsidR="00024555" w:rsidRDefault="004F7B75">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银行账号：</w:t>
            </w:r>
            <w:r>
              <w:rPr>
                <w:rFonts w:ascii="微软雅黑" w:eastAsia="微软雅黑" w:hAnsi="微软雅黑"/>
                <w:color w:val="000000"/>
                <w:sz w:val="24"/>
              </w:rPr>
              <w:t>3105 0174 5300 0000 0106</w:t>
            </w:r>
          </w:p>
          <w:p w:rsidR="00024555" w:rsidRDefault="004F7B75">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开</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户</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行：中国建设银行股份有限公司上海临空支行</w:t>
            </w:r>
          </w:p>
        </w:tc>
      </w:tr>
      <w:tr w:rsidR="00024555">
        <w:trPr>
          <w:trHeight w:val="70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024555" w:rsidRDefault="004F7B75">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报名信息</w:t>
            </w:r>
          </w:p>
        </w:tc>
      </w:tr>
      <w:tr w:rsidR="0002455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jc w:val="center"/>
              <w:rPr>
                <w:rFonts w:ascii="微软雅黑" w:eastAsia="微软雅黑" w:hAnsi="微软雅黑"/>
                <w:color w:val="FFFFFF" w:themeColor="background1"/>
                <w:sz w:val="24"/>
                <w:shd w:val="clear" w:color="auto" w:fill="FFF2CC" w:themeFill="accent4" w:themeFillTint="33"/>
              </w:rPr>
            </w:pPr>
            <w:r>
              <w:rPr>
                <w:rFonts w:ascii="微软雅黑" w:eastAsia="微软雅黑" w:hAnsi="微软雅黑" w:hint="eastAsia"/>
                <w:color w:val="FFFFFF" w:themeColor="background1"/>
                <w:sz w:val="24"/>
              </w:rPr>
              <w:t>序号</w:t>
            </w:r>
          </w:p>
        </w:tc>
        <w:tc>
          <w:tcPr>
            <w:tcW w:w="959"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职位</w:t>
            </w:r>
          </w:p>
        </w:tc>
      </w:tr>
      <w:tr w:rsidR="0002455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jc w:val="center"/>
              <w:rPr>
                <w:rFonts w:ascii="微软雅黑" w:eastAsia="微软雅黑" w:hAnsi="微软雅黑"/>
                <w:color w:val="000000"/>
                <w:sz w:val="24"/>
              </w:rPr>
            </w:pPr>
            <w:r>
              <w:rPr>
                <w:rFonts w:ascii="微软雅黑" w:eastAsia="微软雅黑" w:hAnsi="微软雅黑" w:hint="eastAsia"/>
                <w:color w:val="000000"/>
                <w:sz w:val="24"/>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r>
      <w:tr w:rsidR="0002455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jc w:val="center"/>
              <w:rPr>
                <w:rFonts w:ascii="微软雅黑" w:eastAsia="微软雅黑" w:hAnsi="微软雅黑"/>
                <w:color w:val="000000"/>
                <w:sz w:val="24"/>
              </w:rPr>
            </w:pPr>
            <w:r>
              <w:rPr>
                <w:rFonts w:ascii="微软雅黑" w:eastAsia="微软雅黑" w:hAnsi="微软雅黑" w:hint="eastAsia"/>
                <w:color w:val="000000"/>
                <w:sz w:val="24"/>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r>
      <w:tr w:rsidR="0002455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jc w:val="center"/>
              <w:rPr>
                <w:rFonts w:ascii="微软雅黑" w:eastAsia="微软雅黑" w:hAnsi="微软雅黑"/>
                <w:color w:val="000000"/>
                <w:sz w:val="24"/>
              </w:rPr>
            </w:pPr>
            <w:r>
              <w:rPr>
                <w:rFonts w:ascii="微软雅黑" w:eastAsia="微软雅黑" w:hAnsi="微软雅黑" w:hint="eastAsia"/>
                <w:color w:val="000000"/>
                <w:sz w:val="24"/>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r>
      <w:tr w:rsidR="0002455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jc w:val="center"/>
              <w:rPr>
                <w:rFonts w:ascii="微软雅黑" w:eastAsia="微软雅黑" w:hAnsi="微软雅黑"/>
                <w:color w:val="000000"/>
                <w:sz w:val="24"/>
              </w:rPr>
            </w:pPr>
            <w:r>
              <w:rPr>
                <w:rFonts w:ascii="微软雅黑" w:eastAsia="微软雅黑" w:hAnsi="微软雅黑" w:hint="eastAsia"/>
                <w:color w:val="000000"/>
                <w:sz w:val="24"/>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r>
      <w:tr w:rsidR="0002455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jc w:val="center"/>
              <w:rPr>
                <w:rFonts w:ascii="微软雅黑" w:eastAsia="微软雅黑" w:hAnsi="微软雅黑"/>
                <w:color w:val="000000"/>
                <w:sz w:val="24"/>
              </w:rPr>
            </w:pPr>
            <w:r>
              <w:rPr>
                <w:rFonts w:ascii="微软雅黑" w:eastAsia="微软雅黑" w:hAnsi="微软雅黑" w:hint="eastAsia"/>
                <w:color w:val="000000"/>
                <w:sz w:val="24"/>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r>
      <w:tr w:rsidR="00024555">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024555" w:rsidRDefault="004F7B75">
            <w:pPr>
              <w:adjustRightInd w:val="0"/>
              <w:snapToGrid w:val="0"/>
              <w:jc w:val="center"/>
              <w:rPr>
                <w:rFonts w:ascii="微软雅黑" w:eastAsia="微软雅黑" w:hAnsi="微软雅黑"/>
                <w:color w:val="000000"/>
                <w:sz w:val="24"/>
              </w:rPr>
            </w:pPr>
            <w:r>
              <w:rPr>
                <w:rFonts w:ascii="微软雅黑" w:eastAsia="微软雅黑" w:hAnsi="微软雅黑" w:hint="eastAsia"/>
                <w:color w:val="FFFFFF" w:themeColor="background1"/>
                <w:sz w:val="24"/>
              </w:rPr>
              <w:t>对接人信息</w:t>
            </w:r>
          </w:p>
        </w:tc>
      </w:tr>
      <w:tr w:rsidR="00024555">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adjustRightInd w:val="0"/>
              <w:snapToGrid w:val="0"/>
              <w:rPr>
                <w:rFonts w:ascii="微软雅黑" w:eastAsia="微软雅黑" w:hAnsi="微软雅黑"/>
                <w:color w:val="000000"/>
                <w:sz w:val="24"/>
              </w:rPr>
            </w:pPr>
            <w:r>
              <w:rPr>
                <w:rFonts w:ascii="微软雅黑" w:eastAsia="微软雅黑" w:hAnsi="微软雅黑"/>
                <w:color w:val="000000"/>
                <w:sz w:val="24"/>
              </w:rPr>
              <w:t>姓名：</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手机</w:t>
            </w:r>
            <w:r>
              <w:rPr>
                <w:rFonts w:ascii="微软雅黑" w:eastAsia="微软雅黑" w:hAnsi="微软雅黑"/>
                <w:color w:val="000000"/>
                <w:sz w:val="24"/>
              </w:rPr>
              <w:t>号码：</w:t>
            </w:r>
            <w:r>
              <w:rPr>
                <w:rFonts w:ascii="微软雅黑" w:eastAsia="微软雅黑" w:hAnsi="微软雅黑"/>
                <w:color w:val="000000"/>
                <w:sz w:val="24"/>
              </w:rPr>
              <w:t xml:space="preserve">           </w:t>
            </w:r>
          </w:p>
          <w:p w:rsidR="00024555" w:rsidRDefault="004F7B75">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邮箱</w:t>
            </w:r>
            <w:r>
              <w:rPr>
                <w:rFonts w:ascii="微软雅黑" w:eastAsia="微软雅黑" w:hAnsi="微软雅黑"/>
                <w:color w:val="000000"/>
                <w:sz w:val="24"/>
              </w:rPr>
              <w:t>：</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职位</w:t>
            </w:r>
            <w:r>
              <w:rPr>
                <w:rFonts w:ascii="微软雅黑" w:eastAsia="微软雅黑" w:hAnsi="微软雅黑"/>
                <w:color w:val="000000"/>
                <w:sz w:val="24"/>
              </w:rPr>
              <w:t>：</w:t>
            </w:r>
          </w:p>
        </w:tc>
      </w:tr>
      <w:tr w:rsidR="00024555">
        <w:trPr>
          <w:trHeight w:val="106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024555" w:rsidRDefault="004F7B75">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公司</w:t>
            </w:r>
            <w:r>
              <w:rPr>
                <w:rFonts w:ascii="微软雅黑" w:eastAsia="微软雅黑" w:hAnsi="微软雅黑" w:hint="eastAsia"/>
                <w:color w:val="FFFFFF" w:themeColor="background1"/>
                <w:sz w:val="24"/>
              </w:rPr>
              <w:t>开票</w:t>
            </w:r>
          </w:p>
          <w:p w:rsidR="00024555" w:rsidRDefault="004F7B75">
            <w:pPr>
              <w:jc w:val="center"/>
              <w:rPr>
                <w:rFonts w:ascii="微软雅黑" w:eastAsia="微软雅黑" w:hAnsi="微软雅黑"/>
                <w:color w:val="000000"/>
                <w:sz w:val="24"/>
              </w:rPr>
            </w:pPr>
            <w:r>
              <w:rPr>
                <w:rFonts w:ascii="微软雅黑" w:eastAsia="微软雅黑" w:hAnsi="微软雅黑" w:hint="eastAsia"/>
                <w:color w:val="FFFFFF" w:themeColor="background1"/>
                <w:sz w:val="24"/>
              </w:rPr>
              <w:t>（发票抬头及税号</w:t>
            </w:r>
            <w:r>
              <w:rPr>
                <w:rFonts w:ascii="微软雅黑" w:eastAsia="微软雅黑" w:hAnsi="微软雅黑" w:hint="eastAsia"/>
                <w:b/>
                <w:color w:val="FFFFFF" w:themeColor="background1"/>
                <w:sz w:val="24"/>
              </w:rPr>
              <w:t>必填</w:t>
            </w:r>
            <w:r>
              <w:rPr>
                <w:rFonts w:ascii="微软雅黑" w:eastAsia="微软雅黑" w:hAnsi="微软雅黑" w:hint="eastAsia"/>
                <w:color w:val="FFFFFF" w:themeColor="background1"/>
                <w:sz w:val="24"/>
              </w:rPr>
              <w:t>，如需开具增值税</w:t>
            </w:r>
            <w:r>
              <w:rPr>
                <w:rFonts w:ascii="微软雅黑" w:eastAsia="微软雅黑" w:hAnsi="微软雅黑" w:hint="eastAsia"/>
                <w:b/>
                <w:color w:val="FFFFFF" w:themeColor="background1"/>
                <w:sz w:val="24"/>
              </w:rPr>
              <w:t>专用</w:t>
            </w:r>
            <w:r>
              <w:rPr>
                <w:rFonts w:ascii="微软雅黑" w:eastAsia="微软雅黑" w:hAnsi="微软雅黑" w:hint="eastAsia"/>
                <w:color w:val="FFFFFF" w:themeColor="background1"/>
                <w:sz w:val="24"/>
              </w:rPr>
              <w:t>发票请提供详细开票信息）</w:t>
            </w:r>
          </w:p>
        </w:tc>
      </w:tr>
      <w:tr w:rsidR="00024555">
        <w:trPr>
          <w:trHeight w:val="192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024555">
            <w:pPr>
              <w:rPr>
                <w:rFonts w:ascii="微软雅黑" w:eastAsia="微软雅黑" w:hAnsi="微软雅黑"/>
                <w:color w:val="000000"/>
                <w:sz w:val="24"/>
              </w:rPr>
            </w:pPr>
          </w:p>
        </w:tc>
      </w:tr>
      <w:tr w:rsidR="00024555">
        <w:trPr>
          <w:trHeight w:val="723"/>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024555" w:rsidRDefault="004F7B75">
            <w:pPr>
              <w:jc w:val="left"/>
              <w:rPr>
                <w:rFonts w:ascii="微软雅黑" w:eastAsia="微软雅黑" w:hAnsi="微软雅黑"/>
                <w:color w:val="000000"/>
                <w:sz w:val="24"/>
              </w:rPr>
            </w:pPr>
            <w:r>
              <w:rPr>
                <w:rFonts w:ascii="微软雅黑" w:eastAsia="微软雅黑" w:hAnsi="微软雅黑" w:hint="eastAsia"/>
                <w:color w:val="000000"/>
                <w:sz w:val="24"/>
              </w:rPr>
              <w:t>合作流程：顾问服务——支付汇款——填写信息——公司开票——现场服务</w:t>
            </w:r>
          </w:p>
        </w:tc>
      </w:tr>
    </w:tbl>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tbl>
      <w:tblPr>
        <w:tblStyle w:val="a7"/>
        <w:tblpPr w:leftFromText="180" w:rightFromText="180" w:vertAnchor="page" w:horzAnchor="page" w:tblpX="388" w:tblpY="1577"/>
        <w:tblOverlap w:val="never"/>
        <w:tblW w:w="11174" w:type="dxa"/>
        <w:tblLayout w:type="fixed"/>
        <w:tblLook w:val="04A0" w:firstRow="1" w:lastRow="0" w:firstColumn="1" w:lastColumn="0" w:noHBand="0" w:noVBand="1"/>
      </w:tblPr>
      <w:tblGrid>
        <w:gridCol w:w="1027"/>
        <w:gridCol w:w="2698"/>
        <w:gridCol w:w="2599"/>
        <w:gridCol w:w="450"/>
        <w:gridCol w:w="875"/>
        <w:gridCol w:w="1213"/>
        <w:gridCol w:w="1225"/>
        <w:gridCol w:w="1087"/>
      </w:tblGrid>
      <w:tr w:rsidR="00024555">
        <w:trPr>
          <w:trHeight w:val="285"/>
        </w:trPr>
        <w:tc>
          <w:tcPr>
            <w:tcW w:w="1027" w:type="dxa"/>
            <w:vMerge w:val="restart"/>
            <w:tcBorders>
              <w:top w:val="nil"/>
              <w:left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类别</w:t>
            </w:r>
          </w:p>
        </w:tc>
        <w:tc>
          <w:tcPr>
            <w:tcW w:w="2698" w:type="dxa"/>
            <w:vMerge w:val="restart"/>
            <w:tcBorders>
              <w:top w:val="nil"/>
              <w:left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主题</w:t>
            </w:r>
          </w:p>
        </w:tc>
        <w:tc>
          <w:tcPr>
            <w:tcW w:w="2599" w:type="dxa"/>
            <w:vMerge w:val="restart"/>
            <w:tcBorders>
              <w:top w:val="nil"/>
              <w:left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专家</w:t>
            </w:r>
          </w:p>
        </w:tc>
        <w:tc>
          <w:tcPr>
            <w:tcW w:w="450" w:type="dxa"/>
            <w:vMerge w:val="restart"/>
            <w:tcBorders>
              <w:top w:val="nil"/>
              <w:left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天数</w:t>
            </w:r>
          </w:p>
        </w:tc>
        <w:tc>
          <w:tcPr>
            <w:tcW w:w="875" w:type="dxa"/>
            <w:vMerge w:val="restart"/>
            <w:tcBorders>
              <w:top w:val="nil"/>
              <w:left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价格</w:t>
            </w:r>
          </w:p>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0"/>
                <w:szCs w:val="10"/>
              </w:rPr>
              <w:t>（元／人）</w:t>
            </w:r>
          </w:p>
        </w:tc>
        <w:tc>
          <w:tcPr>
            <w:tcW w:w="3525" w:type="dxa"/>
            <w:gridSpan w:val="3"/>
            <w:tcBorders>
              <w:top w:val="nil"/>
              <w:left w:val="nil"/>
              <w:bottom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themeColor="background1"/>
                <w:sz w:val="18"/>
                <w:szCs w:val="21"/>
              </w:rPr>
              <w:t>第四季度公开课</w:t>
            </w:r>
          </w:p>
        </w:tc>
      </w:tr>
      <w:tr w:rsidR="00024555">
        <w:trPr>
          <w:trHeight w:val="285"/>
        </w:trPr>
        <w:tc>
          <w:tcPr>
            <w:tcW w:w="1027" w:type="dxa"/>
            <w:vMerge/>
            <w:tcBorders>
              <w:left w:val="nil"/>
              <w:bottom w:val="nil"/>
              <w:right w:val="nil"/>
            </w:tcBorders>
            <w:shd w:val="clear" w:color="auto" w:fill="0070C0"/>
            <w:vAlign w:val="center"/>
          </w:tcPr>
          <w:p w:rsidR="00024555" w:rsidRDefault="00024555">
            <w:pPr>
              <w:spacing w:line="240" w:lineRule="exact"/>
              <w:jc w:val="center"/>
              <w:rPr>
                <w:rFonts w:ascii="微软雅黑" w:eastAsia="微软雅黑" w:hAnsi="微软雅黑" w:cs="微软雅黑"/>
                <w:b/>
                <w:bCs/>
                <w:color w:val="FFFFFF"/>
                <w:sz w:val="15"/>
                <w:szCs w:val="15"/>
              </w:rPr>
            </w:pPr>
          </w:p>
        </w:tc>
        <w:tc>
          <w:tcPr>
            <w:tcW w:w="2698" w:type="dxa"/>
            <w:vMerge/>
            <w:tcBorders>
              <w:left w:val="nil"/>
              <w:bottom w:val="nil"/>
              <w:right w:val="nil"/>
            </w:tcBorders>
            <w:shd w:val="clear" w:color="auto" w:fill="0070C0"/>
            <w:vAlign w:val="center"/>
          </w:tcPr>
          <w:p w:rsidR="00024555" w:rsidRDefault="00024555">
            <w:pPr>
              <w:spacing w:line="240" w:lineRule="exact"/>
              <w:jc w:val="center"/>
              <w:rPr>
                <w:rFonts w:ascii="微软雅黑" w:eastAsia="微软雅黑" w:hAnsi="微软雅黑" w:cs="微软雅黑"/>
                <w:b/>
                <w:bCs/>
                <w:color w:val="FFFFFF"/>
                <w:sz w:val="15"/>
                <w:szCs w:val="15"/>
              </w:rPr>
            </w:pPr>
          </w:p>
        </w:tc>
        <w:tc>
          <w:tcPr>
            <w:tcW w:w="2599" w:type="dxa"/>
            <w:vMerge/>
            <w:tcBorders>
              <w:left w:val="nil"/>
              <w:bottom w:val="nil"/>
              <w:right w:val="nil"/>
            </w:tcBorders>
            <w:shd w:val="clear" w:color="auto" w:fill="0070C0"/>
            <w:vAlign w:val="center"/>
          </w:tcPr>
          <w:p w:rsidR="00024555" w:rsidRDefault="00024555">
            <w:pPr>
              <w:spacing w:line="240" w:lineRule="exact"/>
              <w:jc w:val="center"/>
              <w:rPr>
                <w:rFonts w:ascii="微软雅黑" w:eastAsia="微软雅黑" w:hAnsi="微软雅黑" w:cs="微软雅黑"/>
                <w:b/>
                <w:bCs/>
                <w:color w:val="FFFFFF"/>
                <w:sz w:val="15"/>
                <w:szCs w:val="15"/>
              </w:rPr>
            </w:pPr>
          </w:p>
        </w:tc>
        <w:tc>
          <w:tcPr>
            <w:tcW w:w="450" w:type="dxa"/>
            <w:vMerge/>
            <w:tcBorders>
              <w:left w:val="nil"/>
              <w:bottom w:val="nil"/>
              <w:right w:val="nil"/>
            </w:tcBorders>
            <w:shd w:val="clear" w:color="auto" w:fill="0070C0"/>
            <w:vAlign w:val="center"/>
          </w:tcPr>
          <w:p w:rsidR="00024555" w:rsidRDefault="00024555">
            <w:pPr>
              <w:spacing w:line="240" w:lineRule="exact"/>
              <w:jc w:val="center"/>
              <w:rPr>
                <w:rFonts w:ascii="微软雅黑" w:eastAsia="微软雅黑" w:hAnsi="微软雅黑" w:cs="微软雅黑"/>
                <w:b/>
                <w:bCs/>
                <w:color w:val="FFFFFF"/>
                <w:sz w:val="15"/>
                <w:szCs w:val="15"/>
              </w:rPr>
            </w:pPr>
          </w:p>
        </w:tc>
        <w:tc>
          <w:tcPr>
            <w:tcW w:w="875" w:type="dxa"/>
            <w:vMerge/>
            <w:tcBorders>
              <w:left w:val="nil"/>
              <w:bottom w:val="nil"/>
              <w:right w:val="nil"/>
            </w:tcBorders>
            <w:shd w:val="clear" w:color="auto" w:fill="0070C0"/>
            <w:vAlign w:val="center"/>
          </w:tcPr>
          <w:p w:rsidR="00024555" w:rsidRDefault="00024555">
            <w:pPr>
              <w:spacing w:line="240" w:lineRule="exact"/>
              <w:jc w:val="center"/>
              <w:rPr>
                <w:rFonts w:ascii="微软雅黑" w:eastAsia="微软雅黑" w:hAnsi="微软雅黑" w:cs="微软雅黑"/>
                <w:b/>
                <w:bCs/>
                <w:color w:val="FFFFFF"/>
                <w:sz w:val="15"/>
                <w:szCs w:val="15"/>
              </w:rPr>
            </w:pPr>
          </w:p>
        </w:tc>
        <w:tc>
          <w:tcPr>
            <w:tcW w:w="1213" w:type="dxa"/>
            <w:tcBorders>
              <w:top w:val="nil"/>
              <w:left w:val="nil"/>
              <w:bottom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10</w:t>
            </w:r>
            <w:r>
              <w:rPr>
                <w:rFonts w:ascii="微软雅黑" w:eastAsia="微软雅黑" w:hAnsi="微软雅黑" w:cs="微软雅黑" w:hint="eastAsia"/>
                <w:b/>
                <w:bCs/>
                <w:color w:val="FFFFFF"/>
                <w:sz w:val="15"/>
                <w:szCs w:val="15"/>
              </w:rPr>
              <w:t>月</w:t>
            </w:r>
          </w:p>
        </w:tc>
        <w:tc>
          <w:tcPr>
            <w:tcW w:w="1225" w:type="dxa"/>
            <w:tcBorders>
              <w:top w:val="nil"/>
              <w:left w:val="nil"/>
              <w:bottom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11</w:t>
            </w:r>
            <w:r>
              <w:rPr>
                <w:rFonts w:ascii="微软雅黑" w:eastAsia="微软雅黑" w:hAnsi="微软雅黑" w:cs="微软雅黑" w:hint="eastAsia"/>
                <w:b/>
                <w:bCs/>
                <w:color w:val="FFFFFF"/>
                <w:sz w:val="15"/>
                <w:szCs w:val="15"/>
              </w:rPr>
              <w:t>月</w:t>
            </w:r>
          </w:p>
        </w:tc>
        <w:tc>
          <w:tcPr>
            <w:tcW w:w="1087" w:type="dxa"/>
            <w:tcBorders>
              <w:top w:val="nil"/>
              <w:left w:val="nil"/>
              <w:bottom w:val="nil"/>
              <w:right w:val="nil"/>
            </w:tcBorders>
            <w:shd w:val="clear" w:color="auto" w:fill="0070C0"/>
            <w:vAlign w:val="center"/>
          </w:tcPr>
          <w:p w:rsidR="00024555" w:rsidRDefault="004F7B75">
            <w:pPr>
              <w:spacing w:line="240" w:lineRule="exact"/>
              <w:jc w:val="cente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12</w:t>
            </w:r>
            <w:r>
              <w:rPr>
                <w:rFonts w:ascii="微软雅黑" w:eastAsia="微软雅黑" w:hAnsi="微软雅黑" w:cs="微软雅黑" w:hint="eastAsia"/>
                <w:b/>
                <w:bCs/>
                <w:color w:val="FFFFFF"/>
                <w:sz w:val="15"/>
                <w:szCs w:val="15"/>
              </w:rPr>
              <w:t>月</w:t>
            </w:r>
          </w:p>
        </w:tc>
      </w:tr>
      <w:tr w:rsidR="00024555">
        <w:trPr>
          <w:trHeight w:val="735"/>
        </w:trPr>
        <w:tc>
          <w:tcPr>
            <w:tcW w:w="11174" w:type="dxa"/>
            <w:gridSpan w:val="8"/>
            <w:tcBorders>
              <w:top w:val="nil"/>
              <w:left w:val="nil"/>
              <w:bottom w:val="nil"/>
              <w:right w:val="nil"/>
            </w:tcBorders>
            <w:shd w:val="clear" w:color="auto" w:fill="FFFFFF" w:themeFill="background1"/>
            <w:vAlign w:val="center"/>
          </w:tcPr>
          <w:p w:rsidR="00024555" w:rsidRDefault="004F7B75">
            <w:pPr>
              <w:spacing w:line="200" w:lineRule="exact"/>
              <w:jc w:val="center"/>
              <w:rPr>
                <w:rFonts w:ascii="微软雅黑" w:eastAsia="微软雅黑" w:hAnsi="微软雅黑" w:cs="微软雅黑"/>
                <w:sz w:val="16"/>
                <w:szCs w:val="16"/>
              </w:rPr>
            </w:pPr>
            <w:r>
              <w:rPr>
                <w:rFonts w:ascii="微软雅黑" w:eastAsia="微软雅黑" w:hAnsi="微软雅黑" w:cs="微软雅黑"/>
                <w:noProof/>
                <w:sz w:val="16"/>
                <w:szCs w:val="16"/>
              </w:rPr>
              <w:drawing>
                <wp:anchor distT="0" distB="0" distL="114935" distR="114935" simplePos="0" relativeHeight="253561856" behindDoc="0" locked="0" layoutInCell="1" allowOverlap="1">
                  <wp:simplePos x="0" y="0"/>
                  <wp:positionH relativeFrom="column">
                    <wp:posOffset>3016885</wp:posOffset>
                  </wp:positionH>
                  <wp:positionV relativeFrom="paragraph">
                    <wp:posOffset>92710</wp:posOffset>
                  </wp:positionV>
                  <wp:extent cx="1065530" cy="304165"/>
                  <wp:effectExtent l="0" t="0" r="1270" b="635"/>
                  <wp:wrapNone/>
                  <wp:docPr id="11" name="图片 11" descr="回归客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回归客户"/>
                          <pic:cNvPicPr>
                            <a:picLocks noChangeAspect="1"/>
                          </pic:cNvPicPr>
                        </pic:nvPicPr>
                        <pic:blipFill>
                          <a:blip r:embed="rId12"/>
                          <a:stretch>
                            <a:fillRect/>
                          </a:stretch>
                        </pic:blipFill>
                        <pic:spPr>
                          <a:xfrm>
                            <a:off x="0" y="0"/>
                            <a:ext cx="1065530" cy="304165"/>
                          </a:xfrm>
                          <a:prstGeom prst="rect">
                            <a:avLst/>
                          </a:prstGeom>
                        </pic:spPr>
                      </pic:pic>
                    </a:graphicData>
                  </a:graphic>
                </wp:anchor>
              </w:drawing>
            </w:r>
          </w:p>
        </w:tc>
      </w:tr>
      <w:tr w:rsidR="00024555">
        <w:trPr>
          <w:trHeight w:val="735"/>
        </w:trPr>
        <w:tc>
          <w:tcPr>
            <w:tcW w:w="1027" w:type="dxa"/>
            <w:tcBorders>
              <w:top w:val="nil"/>
              <w:left w:val="nil"/>
              <w:bottom w:val="nil"/>
              <w:right w:val="nil"/>
            </w:tcBorders>
            <w:shd w:val="clear" w:color="auto" w:fill="DEEBF6"/>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回归客户【</w:t>
            </w:r>
            <w:r>
              <w:rPr>
                <w:rFonts w:ascii="微软雅黑" w:eastAsia="微软雅黑" w:hAnsi="微软雅黑" w:cs="微软雅黑" w:hint="eastAsia"/>
                <w:sz w:val="15"/>
                <w:szCs w:val="15"/>
              </w:rPr>
              <w:t>大课</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突破管理瓶颈的增长之道：华为导向增长的管理哲学、战略规划、绩效穿透与业务转型</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华为公司前高管团队</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9800</w:t>
            </w:r>
          </w:p>
        </w:tc>
        <w:tc>
          <w:tcPr>
            <w:tcW w:w="1213" w:type="dxa"/>
            <w:tcBorders>
              <w:top w:val="nil"/>
              <w:left w:val="nil"/>
              <w:bottom w:val="nil"/>
              <w:right w:val="nil"/>
            </w:tcBorders>
            <w:shd w:val="clear" w:color="auto" w:fill="DEEBF6"/>
            <w:vAlign w:val="center"/>
          </w:tcPr>
          <w:p w:rsidR="00024555" w:rsidRDefault="00024555">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D7D7D7"/>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15-16</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DEEBF6"/>
            <w:vAlign w:val="center"/>
          </w:tcPr>
          <w:p w:rsidR="00024555" w:rsidRDefault="00024555">
            <w:pPr>
              <w:spacing w:line="200" w:lineRule="exact"/>
              <w:jc w:val="center"/>
              <w:rPr>
                <w:rFonts w:ascii="微软雅黑" w:eastAsia="微软雅黑" w:hAnsi="微软雅黑" w:cs="微软雅黑"/>
                <w:sz w:val="16"/>
                <w:szCs w:val="16"/>
              </w:rPr>
            </w:pPr>
          </w:p>
        </w:tc>
      </w:tr>
      <w:tr w:rsidR="00024555">
        <w:trPr>
          <w:trHeight w:val="875"/>
        </w:trPr>
        <w:tc>
          <w:tcPr>
            <w:tcW w:w="11174" w:type="dxa"/>
            <w:gridSpan w:val="8"/>
            <w:tcBorders>
              <w:top w:val="nil"/>
              <w:left w:val="nil"/>
              <w:bottom w:val="nil"/>
              <w:right w:val="nil"/>
            </w:tcBorders>
            <w:shd w:val="clear" w:color="auto" w:fill="FFFFFF" w:themeFill="background1"/>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noProof/>
                <w:sz w:val="15"/>
                <w:szCs w:val="15"/>
              </w:rPr>
              <w:drawing>
                <wp:anchor distT="0" distB="0" distL="114935" distR="114935" simplePos="0" relativeHeight="253562880" behindDoc="0" locked="0" layoutInCell="1" allowOverlap="1">
                  <wp:simplePos x="0" y="0"/>
                  <wp:positionH relativeFrom="column">
                    <wp:posOffset>2961640</wp:posOffset>
                  </wp:positionH>
                  <wp:positionV relativeFrom="paragraph">
                    <wp:posOffset>114300</wp:posOffset>
                  </wp:positionV>
                  <wp:extent cx="1209040" cy="356235"/>
                  <wp:effectExtent l="0" t="0" r="10160" b="9525"/>
                  <wp:wrapNone/>
                  <wp:docPr id="13" name="图片 13" descr="企业家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企业家班"/>
                          <pic:cNvPicPr>
                            <a:picLocks noChangeAspect="1"/>
                          </pic:cNvPicPr>
                        </pic:nvPicPr>
                        <pic:blipFill>
                          <a:blip r:embed="rId13"/>
                          <a:stretch>
                            <a:fillRect/>
                          </a:stretch>
                        </pic:blipFill>
                        <pic:spPr>
                          <a:xfrm>
                            <a:off x="0" y="0"/>
                            <a:ext cx="1209040" cy="356235"/>
                          </a:xfrm>
                          <a:prstGeom prst="rect">
                            <a:avLst/>
                          </a:prstGeom>
                        </pic:spPr>
                      </pic:pic>
                    </a:graphicData>
                  </a:graphic>
                </wp:anchor>
              </w:drawing>
            </w:r>
          </w:p>
        </w:tc>
      </w:tr>
      <w:tr w:rsidR="00024555">
        <w:trPr>
          <w:trHeight w:val="600"/>
        </w:trPr>
        <w:tc>
          <w:tcPr>
            <w:tcW w:w="1027" w:type="dxa"/>
            <w:tcBorders>
              <w:top w:val="nil"/>
              <w:left w:val="nil"/>
              <w:bottom w:val="nil"/>
              <w:right w:val="nil"/>
            </w:tcBorders>
            <w:shd w:val="clear" w:color="auto" w:fill="DEEBF6"/>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从战略到执行【企业家班】</w:t>
            </w:r>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从战略到执行：打造行业领导者的战略能力与组织能力</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华为公司前高管团队</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3</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28800</w:t>
            </w:r>
          </w:p>
        </w:tc>
        <w:tc>
          <w:tcPr>
            <w:tcW w:w="1213" w:type="dxa"/>
            <w:tcBorders>
              <w:top w:val="nil"/>
              <w:left w:val="nil"/>
              <w:bottom w:val="nil"/>
              <w:right w:val="nil"/>
            </w:tcBorders>
            <w:shd w:val="clear" w:color="auto" w:fill="D8D8D8" w:themeFill="background1" w:themeFillShade="D8"/>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18-20</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225" w:type="dxa"/>
            <w:tcBorders>
              <w:top w:val="nil"/>
              <w:left w:val="nil"/>
              <w:bottom w:val="nil"/>
              <w:right w:val="nil"/>
            </w:tcBorders>
            <w:shd w:val="clear" w:color="auto" w:fill="DEEBF6" w:themeFill="accent1" w:themeFillTint="32"/>
            <w:vAlign w:val="center"/>
          </w:tcPr>
          <w:p w:rsidR="00024555" w:rsidRDefault="00024555">
            <w:pPr>
              <w:spacing w:line="200" w:lineRule="exact"/>
              <w:jc w:val="center"/>
              <w:rPr>
                <w:rFonts w:ascii="微软雅黑" w:eastAsia="微软雅黑" w:hAnsi="微软雅黑" w:cs="微软雅黑"/>
                <w:sz w:val="15"/>
                <w:szCs w:val="15"/>
              </w:rPr>
            </w:pPr>
          </w:p>
        </w:tc>
        <w:tc>
          <w:tcPr>
            <w:tcW w:w="1087" w:type="dxa"/>
            <w:tcBorders>
              <w:top w:val="nil"/>
              <w:left w:val="nil"/>
              <w:bottom w:val="nil"/>
              <w:right w:val="nil"/>
            </w:tcBorders>
            <w:shd w:val="clear" w:color="auto" w:fill="FBE5D6" w:themeFill="accent2" w:themeFillTint="32"/>
            <w:vAlign w:val="center"/>
          </w:tcPr>
          <w:p w:rsidR="00024555" w:rsidRDefault="004F7B75">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7-9</w:t>
            </w:r>
            <w:r>
              <w:rPr>
                <w:rFonts w:ascii="微软雅黑" w:eastAsia="微软雅黑" w:hAnsi="微软雅黑" w:cs="微软雅黑" w:hint="eastAsia"/>
                <w:sz w:val="13"/>
                <w:szCs w:val="13"/>
              </w:rPr>
              <w:t>日</w:t>
            </w:r>
          </w:p>
          <w:p w:rsidR="00024555" w:rsidRDefault="004F7B75">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杭州</w:t>
            </w:r>
          </w:p>
        </w:tc>
      </w:tr>
      <w:tr w:rsidR="00024555">
        <w:trPr>
          <w:trHeight w:val="796"/>
        </w:trPr>
        <w:tc>
          <w:tcPr>
            <w:tcW w:w="11174" w:type="dxa"/>
            <w:gridSpan w:val="8"/>
            <w:tcBorders>
              <w:top w:val="nil"/>
              <w:left w:val="nil"/>
              <w:bottom w:val="nil"/>
              <w:right w:val="nil"/>
            </w:tcBorders>
            <w:shd w:val="clear" w:color="auto" w:fill="FFFFFF" w:themeFill="background1"/>
            <w:vAlign w:val="center"/>
          </w:tcPr>
          <w:p w:rsidR="00024555" w:rsidRDefault="004F7B75">
            <w:pPr>
              <w:spacing w:line="200" w:lineRule="exact"/>
              <w:jc w:val="center"/>
              <w:rPr>
                <w:rFonts w:ascii="微软雅黑" w:eastAsia="微软雅黑" w:hAnsi="微软雅黑" w:cs="微软雅黑"/>
                <w:sz w:val="15"/>
                <w:szCs w:val="15"/>
              </w:rPr>
            </w:pPr>
            <w:r>
              <w:rPr>
                <w:noProof/>
                <w:sz w:val="15"/>
                <w:szCs w:val="15"/>
              </w:rPr>
              <w:drawing>
                <wp:anchor distT="0" distB="0" distL="114935" distR="114935" simplePos="0" relativeHeight="253563904" behindDoc="0" locked="0" layoutInCell="1" allowOverlap="1">
                  <wp:simplePos x="0" y="0"/>
                  <wp:positionH relativeFrom="column">
                    <wp:posOffset>3013075</wp:posOffset>
                  </wp:positionH>
                  <wp:positionV relativeFrom="paragraph">
                    <wp:posOffset>95885</wp:posOffset>
                  </wp:positionV>
                  <wp:extent cx="1163320" cy="329565"/>
                  <wp:effectExtent l="0" t="0" r="10160" b="0"/>
                  <wp:wrapNone/>
                  <wp:docPr id="14" name="图片 6" descr="436022908220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4360229082202375"/>
                          <pic:cNvPicPr>
                            <a:picLocks noChangeAspect="1"/>
                          </pic:cNvPicPr>
                        </pic:nvPicPr>
                        <pic:blipFill>
                          <a:blip r:embed="rId14"/>
                          <a:stretch>
                            <a:fillRect/>
                          </a:stretch>
                        </pic:blipFill>
                        <pic:spPr>
                          <a:xfrm>
                            <a:off x="0" y="0"/>
                            <a:ext cx="1163320" cy="329565"/>
                          </a:xfrm>
                          <a:prstGeom prst="rect">
                            <a:avLst/>
                          </a:prstGeom>
                        </pic:spPr>
                      </pic:pic>
                    </a:graphicData>
                  </a:graphic>
                </wp:anchor>
              </w:drawing>
            </w:r>
          </w:p>
        </w:tc>
      </w:tr>
      <w:tr w:rsidR="00024555">
        <w:trPr>
          <w:trHeight w:val="600"/>
        </w:trPr>
        <w:tc>
          <w:tcPr>
            <w:tcW w:w="1027" w:type="dxa"/>
            <w:tcBorders>
              <w:top w:val="nil"/>
              <w:left w:val="nil"/>
              <w:bottom w:val="nil"/>
              <w:right w:val="nil"/>
            </w:tcBorders>
            <w:shd w:val="clear" w:color="auto" w:fill="DEEBF6"/>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考察华为【总裁班】</w:t>
            </w:r>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走进华为：</w:t>
            </w:r>
          </w:p>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探索消费者业务转型升级之路</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华为公司前高管团队</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19800</w:t>
            </w:r>
          </w:p>
        </w:tc>
        <w:tc>
          <w:tcPr>
            <w:tcW w:w="1213" w:type="dxa"/>
            <w:tcBorders>
              <w:top w:val="nil"/>
              <w:left w:val="nil"/>
              <w:bottom w:val="nil"/>
              <w:right w:val="nil"/>
            </w:tcBorders>
            <w:shd w:val="clear" w:color="auto" w:fill="DEEBF6" w:themeFill="accent1" w:themeFillTint="32"/>
            <w:vAlign w:val="center"/>
          </w:tcPr>
          <w:p w:rsidR="00024555" w:rsidRDefault="00024555">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E2EFDA"/>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3</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深圳</w:t>
            </w:r>
          </w:p>
        </w:tc>
        <w:tc>
          <w:tcPr>
            <w:tcW w:w="1087" w:type="dxa"/>
            <w:tcBorders>
              <w:top w:val="nil"/>
              <w:left w:val="nil"/>
              <w:bottom w:val="nil"/>
              <w:right w:val="nil"/>
            </w:tcBorders>
            <w:shd w:val="clear" w:color="auto" w:fill="DEEBF6"/>
            <w:vAlign w:val="center"/>
          </w:tcPr>
          <w:p w:rsidR="00024555" w:rsidRDefault="00024555">
            <w:pPr>
              <w:spacing w:line="200" w:lineRule="exact"/>
              <w:jc w:val="center"/>
              <w:rPr>
                <w:rFonts w:ascii="微软雅黑" w:eastAsia="微软雅黑" w:hAnsi="微软雅黑" w:cs="微软雅黑"/>
                <w:sz w:val="16"/>
                <w:szCs w:val="16"/>
              </w:rPr>
            </w:pPr>
          </w:p>
        </w:tc>
      </w:tr>
      <w:tr w:rsidR="00024555">
        <w:trPr>
          <w:trHeight w:val="854"/>
        </w:trPr>
        <w:tc>
          <w:tcPr>
            <w:tcW w:w="11174" w:type="dxa"/>
            <w:gridSpan w:val="8"/>
            <w:tcBorders>
              <w:top w:val="nil"/>
              <w:left w:val="nil"/>
              <w:bottom w:val="nil"/>
              <w:right w:val="nil"/>
            </w:tcBorders>
            <w:shd w:val="clear" w:color="auto" w:fill="FFFFFF" w:themeFill="background1"/>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b/>
                <w:bCs/>
                <w:noProof/>
                <w:color w:val="C00000"/>
                <w:sz w:val="15"/>
                <w:szCs w:val="15"/>
              </w:rPr>
              <w:drawing>
                <wp:anchor distT="0" distB="0" distL="114935" distR="114935" simplePos="0" relativeHeight="253564928" behindDoc="0" locked="0" layoutInCell="1" allowOverlap="1">
                  <wp:simplePos x="0" y="0"/>
                  <wp:positionH relativeFrom="column">
                    <wp:posOffset>2967990</wp:posOffset>
                  </wp:positionH>
                  <wp:positionV relativeFrom="paragraph">
                    <wp:posOffset>97155</wp:posOffset>
                  </wp:positionV>
                  <wp:extent cx="1225550" cy="343535"/>
                  <wp:effectExtent l="0" t="0" r="8890" b="6985"/>
                  <wp:wrapNone/>
                  <wp:docPr id="31" name="图片 31" descr="GM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MDP"/>
                          <pic:cNvPicPr>
                            <a:picLocks noChangeAspect="1"/>
                          </pic:cNvPicPr>
                        </pic:nvPicPr>
                        <pic:blipFill>
                          <a:blip r:embed="rId15"/>
                          <a:stretch>
                            <a:fillRect/>
                          </a:stretch>
                        </pic:blipFill>
                        <pic:spPr>
                          <a:xfrm>
                            <a:off x="0" y="0"/>
                            <a:ext cx="1225550" cy="343535"/>
                          </a:xfrm>
                          <a:prstGeom prst="rect">
                            <a:avLst/>
                          </a:prstGeom>
                        </pic:spPr>
                      </pic:pic>
                    </a:graphicData>
                  </a:graphic>
                </wp:anchor>
              </w:drawing>
            </w:r>
          </w:p>
        </w:tc>
      </w:tr>
      <w:tr w:rsidR="00024555">
        <w:trPr>
          <w:trHeight w:val="925"/>
        </w:trPr>
        <w:tc>
          <w:tcPr>
            <w:tcW w:w="1027" w:type="dxa"/>
            <w:tcBorders>
              <w:top w:val="nil"/>
              <w:left w:val="nil"/>
              <w:bottom w:val="nil"/>
              <w:right w:val="nil"/>
            </w:tcBorders>
            <w:shd w:val="clear" w:color="auto" w:fill="DEEBF6"/>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战略与执行【</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w:t>
            </w:r>
          </w:p>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战略规划与年度业务计划制定</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闻铭</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原华为公司</w:t>
            </w:r>
            <w:r>
              <w:rPr>
                <w:rFonts w:ascii="微软雅黑" w:eastAsia="微软雅黑" w:hAnsi="微软雅黑" w:cs="微软雅黑" w:hint="eastAsia"/>
                <w:sz w:val="15"/>
                <w:szCs w:val="15"/>
              </w:rPr>
              <w:t>EBG</w:t>
            </w:r>
            <w:r>
              <w:rPr>
                <w:rFonts w:ascii="微软雅黑" w:eastAsia="微软雅黑" w:hAnsi="微软雅黑" w:cs="微软雅黑" w:hint="eastAsia"/>
                <w:sz w:val="15"/>
                <w:szCs w:val="15"/>
              </w:rPr>
              <w:t>战略规划部部长</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苏晗</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原华为手机终端战略规划经理</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FBE5D6" w:themeFill="accent2" w:themeFillTint="32"/>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26-27</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杭州</w:t>
            </w:r>
          </w:p>
        </w:tc>
        <w:tc>
          <w:tcPr>
            <w:tcW w:w="1225" w:type="dxa"/>
            <w:tcBorders>
              <w:top w:val="nil"/>
              <w:left w:val="nil"/>
              <w:bottom w:val="nil"/>
              <w:right w:val="nil"/>
            </w:tcBorders>
            <w:shd w:val="clear" w:color="auto" w:fill="D8D8D8" w:themeFill="background1" w:themeFillShade="D8"/>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23-24</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E2EFD9" w:themeFill="accent6" w:themeFillTint="32"/>
            <w:vAlign w:val="center"/>
          </w:tcPr>
          <w:p w:rsidR="00024555" w:rsidRDefault="004F7B75">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14-15</w:t>
            </w:r>
            <w:r>
              <w:rPr>
                <w:rFonts w:ascii="微软雅黑" w:eastAsia="微软雅黑" w:hAnsi="微软雅黑" w:cs="微软雅黑" w:hint="eastAsia"/>
                <w:sz w:val="13"/>
                <w:szCs w:val="13"/>
              </w:rPr>
              <w:t>日</w:t>
            </w:r>
          </w:p>
          <w:p w:rsidR="00024555" w:rsidRDefault="004F7B75">
            <w:pPr>
              <w:spacing w:line="200" w:lineRule="exact"/>
              <w:jc w:val="center"/>
              <w:rPr>
                <w:rFonts w:ascii="微软雅黑" w:eastAsia="微软雅黑" w:hAnsi="微软雅黑" w:cs="微软雅黑"/>
                <w:sz w:val="16"/>
                <w:szCs w:val="16"/>
              </w:rPr>
            </w:pPr>
            <w:r>
              <w:rPr>
                <w:rFonts w:ascii="微软雅黑" w:eastAsia="微软雅黑" w:hAnsi="微软雅黑" w:cs="微软雅黑" w:hint="eastAsia"/>
                <w:sz w:val="13"/>
                <w:szCs w:val="13"/>
              </w:rPr>
              <w:t>深圳</w:t>
            </w:r>
          </w:p>
        </w:tc>
      </w:tr>
      <w:tr w:rsidR="00024555">
        <w:trPr>
          <w:trHeight w:val="698"/>
        </w:trPr>
        <w:tc>
          <w:tcPr>
            <w:tcW w:w="1027" w:type="dxa"/>
            <w:tcBorders>
              <w:top w:val="nil"/>
              <w:left w:val="nil"/>
              <w:bottom w:val="nil"/>
              <w:right w:val="nil"/>
            </w:tcBorders>
            <w:shd w:val="clear" w:color="auto" w:fill="F1F1F1"/>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流程与组织【</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F1F1F1"/>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向华为学习：端到端的业务流程再造与组织变革（</w:t>
            </w:r>
            <w:r>
              <w:rPr>
                <w:rFonts w:ascii="微软雅黑" w:eastAsia="微软雅黑" w:hAnsi="微软雅黑" w:cs="微软雅黑" w:hint="eastAsia"/>
                <w:sz w:val="15"/>
                <w:szCs w:val="15"/>
              </w:rPr>
              <w:t>BPR</w:t>
            </w:r>
            <w:r>
              <w:rPr>
                <w:rFonts w:ascii="微软雅黑" w:eastAsia="微软雅黑" w:hAnsi="微软雅黑" w:cs="微软雅黑" w:hint="eastAsia"/>
                <w:sz w:val="15"/>
                <w:szCs w:val="15"/>
              </w:rPr>
              <w:t>）</w:t>
            </w:r>
          </w:p>
        </w:tc>
        <w:tc>
          <w:tcPr>
            <w:tcW w:w="2599" w:type="dxa"/>
            <w:tcBorders>
              <w:top w:val="nil"/>
              <w:left w:val="nil"/>
              <w:bottom w:val="nil"/>
              <w:right w:val="nil"/>
            </w:tcBorders>
            <w:shd w:val="clear" w:color="auto" w:fill="F1F1F1"/>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蒋伟良</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原华为组织变革副总监</w:t>
            </w:r>
          </w:p>
        </w:tc>
        <w:tc>
          <w:tcPr>
            <w:tcW w:w="450" w:type="dxa"/>
            <w:tcBorders>
              <w:top w:val="nil"/>
              <w:left w:val="nil"/>
              <w:bottom w:val="nil"/>
              <w:right w:val="nil"/>
            </w:tcBorders>
            <w:shd w:val="clear" w:color="auto" w:fill="F1F1F1"/>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F1F1F1"/>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F1F1F1"/>
            <w:vAlign w:val="center"/>
          </w:tcPr>
          <w:p w:rsidR="00024555" w:rsidRDefault="00024555">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E2EFD9" w:themeFill="accent6" w:themeFillTint="32"/>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14</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15</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深圳</w:t>
            </w:r>
          </w:p>
        </w:tc>
        <w:tc>
          <w:tcPr>
            <w:tcW w:w="1087" w:type="dxa"/>
            <w:tcBorders>
              <w:top w:val="nil"/>
              <w:left w:val="nil"/>
              <w:bottom w:val="nil"/>
              <w:right w:val="nil"/>
            </w:tcBorders>
            <w:shd w:val="clear" w:color="auto" w:fill="F1F1F1"/>
            <w:vAlign w:val="center"/>
          </w:tcPr>
          <w:p w:rsidR="00024555" w:rsidRDefault="00024555">
            <w:pPr>
              <w:spacing w:line="200" w:lineRule="exact"/>
              <w:jc w:val="center"/>
              <w:rPr>
                <w:rFonts w:ascii="微软雅黑" w:eastAsia="微软雅黑" w:hAnsi="微软雅黑" w:cs="微软雅黑"/>
                <w:sz w:val="16"/>
                <w:szCs w:val="16"/>
              </w:rPr>
            </w:pPr>
          </w:p>
        </w:tc>
      </w:tr>
      <w:tr w:rsidR="00024555">
        <w:trPr>
          <w:trHeight w:val="667"/>
        </w:trPr>
        <w:tc>
          <w:tcPr>
            <w:tcW w:w="1027" w:type="dxa"/>
            <w:tcBorders>
              <w:top w:val="nil"/>
              <w:left w:val="nil"/>
              <w:bottom w:val="nil"/>
              <w:right w:val="nil"/>
            </w:tcBorders>
            <w:shd w:val="clear" w:color="auto" w:fill="DEEBF6"/>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责任与预算【</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向华为学习：支撑战略的责任中心划分与全面预算管理</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马良</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原华为公司副财经总裁</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12800</w:t>
            </w:r>
          </w:p>
        </w:tc>
        <w:tc>
          <w:tcPr>
            <w:tcW w:w="1213" w:type="dxa"/>
            <w:tcBorders>
              <w:top w:val="nil"/>
              <w:left w:val="nil"/>
              <w:bottom w:val="nil"/>
              <w:right w:val="nil"/>
            </w:tcBorders>
            <w:shd w:val="clear" w:color="auto" w:fill="E2EFDA"/>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26-27</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深圳</w:t>
            </w:r>
          </w:p>
        </w:tc>
        <w:tc>
          <w:tcPr>
            <w:tcW w:w="1225" w:type="dxa"/>
            <w:tcBorders>
              <w:top w:val="nil"/>
              <w:left w:val="nil"/>
              <w:bottom w:val="nil"/>
              <w:right w:val="nil"/>
            </w:tcBorders>
            <w:shd w:val="clear" w:color="auto" w:fill="D8D8D8" w:themeFill="background1" w:themeFillShade="D8"/>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23-24</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E2EFD9" w:themeFill="accent6" w:themeFillTint="32"/>
            <w:vAlign w:val="center"/>
          </w:tcPr>
          <w:p w:rsidR="00024555" w:rsidRDefault="004F7B75">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14-15</w:t>
            </w:r>
            <w:r>
              <w:rPr>
                <w:rFonts w:ascii="微软雅黑" w:eastAsia="微软雅黑" w:hAnsi="微软雅黑" w:cs="微软雅黑" w:hint="eastAsia"/>
                <w:sz w:val="13"/>
                <w:szCs w:val="13"/>
              </w:rPr>
              <w:t>日</w:t>
            </w:r>
          </w:p>
          <w:p w:rsidR="00024555" w:rsidRDefault="004F7B75">
            <w:pPr>
              <w:spacing w:line="200" w:lineRule="exact"/>
              <w:jc w:val="center"/>
              <w:rPr>
                <w:rFonts w:ascii="微软雅黑" w:eastAsia="微软雅黑" w:hAnsi="微软雅黑" w:cs="微软雅黑"/>
                <w:sz w:val="16"/>
                <w:szCs w:val="16"/>
              </w:rPr>
            </w:pPr>
            <w:r>
              <w:rPr>
                <w:rFonts w:ascii="微软雅黑" w:eastAsia="微软雅黑" w:hAnsi="微软雅黑" w:cs="微软雅黑" w:hint="eastAsia"/>
                <w:sz w:val="13"/>
                <w:szCs w:val="13"/>
              </w:rPr>
              <w:t>深圳</w:t>
            </w:r>
          </w:p>
        </w:tc>
      </w:tr>
      <w:tr w:rsidR="00024555">
        <w:trPr>
          <w:trHeight w:val="685"/>
        </w:trPr>
        <w:tc>
          <w:tcPr>
            <w:tcW w:w="1027" w:type="dxa"/>
            <w:tcBorders>
              <w:top w:val="nil"/>
              <w:left w:val="nil"/>
              <w:bottom w:val="nil"/>
              <w:right w:val="nil"/>
            </w:tcBorders>
            <w:shd w:val="clear" w:color="auto" w:fill="F1F1F1"/>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文化与干部【</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F1F1F1"/>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向华为学习：以奋斗者为本的企业文化建设与干部管理机制</w:t>
            </w:r>
          </w:p>
        </w:tc>
        <w:tc>
          <w:tcPr>
            <w:tcW w:w="2599" w:type="dxa"/>
            <w:tcBorders>
              <w:top w:val="nil"/>
              <w:left w:val="nil"/>
              <w:bottom w:val="nil"/>
              <w:right w:val="nil"/>
            </w:tcBorders>
            <w:shd w:val="clear" w:color="auto" w:fill="F1F1F1"/>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毛为民</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原华为人力资源高管</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干部</w:t>
            </w:r>
            <w:proofErr w:type="gramStart"/>
            <w:r>
              <w:rPr>
                <w:rFonts w:ascii="微软雅黑" w:eastAsia="微软雅黑" w:hAnsi="微软雅黑" w:cs="微软雅黑" w:hint="eastAsia"/>
                <w:sz w:val="15"/>
                <w:szCs w:val="15"/>
              </w:rPr>
              <w:t>部</w:t>
            </w:r>
            <w:proofErr w:type="gramEnd"/>
            <w:r>
              <w:rPr>
                <w:rFonts w:ascii="微软雅黑" w:eastAsia="微软雅黑" w:hAnsi="微软雅黑" w:cs="微软雅黑" w:hint="eastAsia"/>
                <w:sz w:val="15"/>
                <w:szCs w:val="15"/>
              </w:rPr>
              <w:t>部长</w:t>
            </w:r>
          </w:p>
        </w:tc>
        <w:tc>
          <w:tcPr>
            <w:tcW w:w="450" w:type="dxa"/>
            <w:tcBorders>
              <w:top w:val="nil"/>
              <w:left w:val="nil"/>
              <w:bottom w:val="nil"/>
              <w:right w:val="nil"/>
            </w:tcBorders>
            <w:shd w:val="clear" w:color="auto" w:fill="F1F1F1"/>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F1F1F1"/>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F1F1F1"/>
            <w:vAlign w:val="center"/>
          </w:tcPr>
          <w:p w:rsidR="00024555" w:rsidRDefault="00024555">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F1F1F1"/>
            <w:vAlign w:val="center"/>
          </w:tcPr>
          <w:p w:rsidR="00024555" w:rsidRDefault="00024555">
            <w:pPr>
              <w:spacing w:line="200" w:lineRule="exact"/>
              <w:jc w:val="center"/>
              <w:rPr>
                <w:rFonts w:ascii="微软雅黑" w:eastAsia="微软雅黑" w:hAnsi="微软雅黑" w:cs="微软雅黑"/>
                <w:sz w:val="15"/>
                <w:szCs w:val="15"/>
              </w:rPr>
            </w:pPr>
          </w:p>
        </w:tc>
        <w:tc>
          <w:tcPr>
            <w:tcW w:w="1087" w:type="dxa"/>
            <w:tcBorders>
              <w:top w:val="nil"/>
              <w:left w:val="nil"/>
              <w:bottom w:val="nil"/>
              <w:right w:val="nil"/>
            </w:tcBorders>
            <w:shd w:val="clear" w:color="auto" w:fill="F1F1F1"/>
            <w:vAlign w:val="center"/>
          </w:tcPr>
          <w:p w:rsidR="00024555" w:rsidRDefault="00024555">
            <w:pPr>
              <w:spacing w:line="200" w:lineRule="exact"/>
              <w:jc w:val="center"/>
              <w:rPr>
                <w:rFonts w:ascii="微软雅黑" w:eastAsia="微软雅黑" w:hAnsi="微软雅黑" w:cs="微软雅黑"/>
                <w:sz w:val="16"/>
                <w:szCs w:val="16"/>
              </w:rPr>
            </w:pPr>
          </w:p>
        </w:tc>
      </w:tr>
      <w:tr w:rsidR="00024555">
        <w:trPr>
          <w:trHeight w:val="733"/>
        </w:trPr>
        <w:tc>
          <w:tcPr>
            <w:tcW w:w="1027" w:type="dxa"/>
            <w:tcBorders>
              <w:top w:val="nil"/>
              <w:left w:val="nil"/>
              <w:bottom w:val="nil"/>
              <w:right w:val="nil"/>
            </w:tcBorders>
            <w:shd w:val="clear" w:color="auto" w:fill="DEEBF6"/>
            <w:vAlign w:val="center"/>
          </w:tcPr>
          <w:p w:rsidR="00024555" w:rsidRDefault="004F7B75">
            <w:pPr>
              <w:spacing w:line="240" w:lineRule="exact"/>
              <w:rPr>
                <w:rFonts w:ascii="微软雅黑" w:eastAsia="微软雅黑" w:hAnsi="微软雅黑" w:cs="微软雅黑"/>
                <w:sz w:val="15"/>
                <w:szCs w:val="15"/>
              </w:rPr>
            </w:pPr>
            <w:r>
              <w:rPr>
                <w:rFonts w:ascii="微软雅黑" w:eastAsia="微软雅黑" w:hAnsi="微软雅黑" w:cs="微软雅黑" w:hint="eastAsia"/>
                <w:sz w:val="15"/>
                <w:szCs w:val="15"/>
              </w:rPr>
              <w:t>绩效与激励【</w:t>
            </w:r>
            <w:r>
              <w:rPr>
                <w:rFonts w:ascii="微软雅黑" w:eastAsia="微软雅黑" w:hAnsi="微软雅黑" w:cs="微软雅黑" w:hint="eastAsia"/>
                <w:sz w:val="15"/>
                <w:szCs w:val="15"/>
              </w:rPr>
              <w:t>GMDP</w:t>
            </w:r>
            <w:r>
              <w:rPr>
                <w:rFonts w:ascii="微软雅黑" w:eastAsia="微软雅黑" w:hAnsi="微软雅黑" w:cs="微软雅黑" w:hint="eastAsia"/>
                <w:sz w:val="15"/>
                <w:szCs w:val="15"/>
              </w:rPr>
              <w:t>】</w:t>
            </w:r>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向华为学习：激活组织的价值创造、价值评价与价值分配机制</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毛为民</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原华为人力资源高管</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干部</w:t>
            </w:r>
            <w:proofErr w:type="gramStart"/>
            <w:r>
              <w:rPr>
                <w:rFonts w:ascii="微软雅黑" w:eastAsia="微软雅黑" w:hAnsi="微软雅黑" w:cs="微软雅黑" w:hint="eastAsia"/>
                <w:sz w:val="15"/>
                <w:szCs w:val="15"/>
              </w:rPr>
              <w:t>部</w:t>
            </w:r>
            <w:proofErr w:type="gramEnd"/>
            <w:r>
              <w:rPr>
                <w:rFonts w:ascii="微软雅黑" w:eastAsia="微软雅黑" w:hAnsi="微软雅黑" w:cs="微软雅黑" w:hint="eastAsia"/>
                <w:sz w:val="15"/>
                <w:szCs w:val="15"/>
              </w:rPr>
              <w:t>部长</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8800</w:t>
            </w:r>
          </w:p>
        </w:tc>
        <w:tc>
          <w:tcPr>
            <w:tcW w:w="1213" w:type="dxa"/>
            <w:tcBorders>
              <w:top w:val="nil"/>
              <w:left w:val="nil"/>
              <w:bottom w:val="nil"/>
              <w:right w:val="nil"/>
            </w:tcBorders>
            <w:shd w:val="clear" w:color="auto" w:fill="99CCFF"/>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26-27</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厦门</w:t>
            </w:r>
          </w:p>
        </w:tc>
        <w:tc>
          <w:tcPr>
            <w:tcW w:w="1225" w:type="dxa"/>
            <w:tcBorders>
              <w:top w:val="nil"/>
              <w:left w:val="nil"/>
              <w:bottom w:val="nil"/>
              <w:right w:val="nil"/>
            </w:tcBorders>
            <w:shd w:val="clear" w:color="auto" w:fill="D8D8D8" w:themeFill="background1" w:themeFillShade="D8"/>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23-24</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E2EFDA"/>
            <w:vAlign w:val="center"/>
          </w:tcPr>
          <w:p w:rsidR="00024555" w:rsidRDefault="004F7B75">
            <w:pPr>
              <w:spacing w:line="200" w:lineRule="exact"/>
              <w:jc w:val="center"/>
              <w:rPr>
                <w:rFonts w:ascii="微软雅黑" w:eastAsia="微软雅黑" w:hAnsi="微软雅黑" w:cs="微软雅黑"/>
                <w:sz w:val="13"/>
                <w:szCs w:val="13"/>
              </w:rPr>
            </w:pPr>
            <w:r>
              <w:rPr>
                <w:rFonts w:ascii="微软雅黑" w:eastAsia="微软雅黑" w:hAnsi="微软雅黑" w:cs="微软雅黑" w:hint="eastAsia"/>
                <w:sz w:val="13"/>
                <w:szCs w:val="13"/>
              </w:rPr>
              <w:t>12</w:t>
            </w:r>
            <w:r>
              <w:rPr>
                <w:rFonts w:ascii="微软雅黑" w:eastAsia="微软雅黑" w:hAnsi="微软雅黑" w:cs="微软雅黑" w:hint="eastAsia"/>
                <w:sz w:val="13"/>
                <w:szCs w:val="13"/>
              </w:rPr>
              <w:t>月</w:t>
            </w:r>
            <w:r>
              <w:rPr>
                <w:rFonts w:ascii="微软雅黑" w:eastAsia="微软雅黑" w:hAnsi="微软雅黑" w:cs="微软雅黑" w:hint="eastAsia"/>
                <w:sz w:val="13"/>
                <w:szCs w:val="13"/>
              </w:rPr>
              <w:t>14-15</w:t>
            </w:r>
            <w:r>
              <w:rPr>
                <w:rFonts w:ascii="微软雅黑" w:eastAsia="微软雅黑" w:hAnsi="微软雅黑" w:cs="微软雅黑" w:hint="eastAsia"/>
                <w:sz w:val="13"/>
                <w:szCs w:val="13"/>
              </w:rPr>
              <w:t>日</w:t>
            </w:r>
          </w:p>
          <w:p w:rsidR="00024555" w:rsidRDefault="004F7B75">
            <w:pPr>
              <w:spacing w:line="200" w:lineRule="exact"/>
              <w:jc w:val="center"/>
              <w:rPr>
                <w:rFonts w:ascii="微软雅黑" w:eastAsia="微软雅黑" w:hAnsi="微软雅黑" w:cs="微软雅黑"/>
                <w:sz w:val="16"/>
                <w:szCs w:val="16"/>
              </w:rPr>
            </w:pPr>
            <w:r>
              <w:rPr>
                <w:rFonts w:ascii="微软雅黑" w:eastAsia="微软雅黑" w:hAnsi="微软雅黑" w:cs="微软雅黑" w:hint="eastAsia"/>
                <w:sz w:val="13"/>
                <w:szCs w:val="13"/>
              </w:rPr>
              <w:t>深圳</w:t>
            </w:r>
          </w:p>
        </w:tc>
      </w:tr>
      <w:tr w:rsidR="00024555">
        <w:trPr>
          <w:trHeight w:val="763"/>
        </w:trPr>
        <w:tc>
          <w:tcPr>
            <w:tcW w:w="11174" w:type="dxa"/>
            <w:gridSpan w:val="8"/>
            <w:tcBorders>
              <w:top w:val="nil"/>
              <w:left w:val="nil"/>
              <w:bottom w:val="nil"/>
              <w:right w:val="nil"/>
            </w:tcBorders>
            <w:shd w:val="clear" w:color="auto" w:fill="FFFFFF" w:themeFill="background1"/>
            <w:vAlign w:val="center"/>
          </w:tcPr>
          <w:p w:rsidR="00024555" w:rsidRDefault="004F7B75">
            <w:pPr>
              <w:spacing w:line="400" w:lineRule="exact"/>
              <w:jc w:val="center"/>
              <w:rPr>
                <w:rFonts w:ascii="微软雅黑" w:eastAsia="微软雅黑" w:hAnsi="微软雅黑" w:cs="微软雅黑"/>
                <w:sz w:val="15"/>
                <w:szCs w:val="15"/>
              </w:rPr>
            </w:pPr>
            <w:r>
              <w:rPr>
                <w:rFonts w:ascii="微软雅黑" w:eastAsia="微软雅黑" w:hAnsi="微软雅黑" w:cs="微软雅黑" w:hint="eastAsia"/>
                <w:b/>
                <w:bCs/>
                <w:color w:val="C00000"/>
                <w:sz w:val="32"/>
                <w:szCs w:val="32"/>
              </w:rPr>
              <w:t>专题班</w:t>
            </w:r>
          </w:p>
        </w:tc>
      </w:tr>
      <w:tr w:rsidR="00024555">
        <w:trPr>
          <w:trHeight w:val="763"/>
        </w:trPr>
        <w:tc>
          <w:tcPr>
            <w:tcW w:w="1027" w:type="dxa"/>
            <w:tcBorders>
              <w:top w:val="nil"/>
              <w:left w:val="nil"/>
              <w:bottom w:val="nil"/>
              <w:right w:val="nil"/>
            </w:tcBorders>
            <w:shd w:val="clear" w:color="auto" w:fill="DEEBF6"/>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市场营销与品牌管理</w:t>
            </w:r>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向华为手机学习：</w:t>
            </w:r>
          </w:p>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市场营销管理与品牌建设</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鲍圣霞</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原华为终端全球营销管理部部长</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6800</w:t>
            </w:r>
          </w:p>
        </w:tc>
        <w:tc>
          <w:tcPr>
            <w:tcW w:w="1213" w:type="dxa"/>
            <w:tcBorders>
              <w:top w:val="nil"/>
              <w:left w:val="nil"/>
              <w:bottom w:val="nil"/>
              <w:right w:val="nil"/>
            </w:tcBorders>
            <w:shd w:val="clear" w:color="auto" w:fill="DEEBF6" w:themeFill="accent1" w:themeFillTint="32"/>
            <w:vAlign w:val="center"/>
          </w:tcPr>
          <w:p w:rsidR="00024555" w:rsidRDefault="00024555">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D8D8D8" w:themeFill="background1" w:themeFillShade="D8"/>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16-17</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DEEBF6" w:themeFill="accent1" w:themeFillTint="32"/>
            <w:vAlign w:val="center"/>
          </w:tcPr>
          <w:p w:rsidR="00024555" w:rsidRDefault="00024555">
            <w:pPr>
              <w:spacing w:line="200" w:lineRule="exact"/>
              <w:jc w:val="center"/>
              <w:rPr>
                <w:rFonts w:ascii="微软雅黑" w:eastAsia="微软雅黑" w:hAnsi="微软雅黑" w:cs="微软雅黑"/>
                <w:sz w:val="13"/>
                <w:szCs w:val="13"/>
              </w:rPr>
            </w:pPr>
          </w:p>
        </w:tc>
      </w:tr>
      <w:tr w:rsidR="00024555">
        <w:trPr>
          <w:trHeight w:val="688"/>
        </w:trPr>
        <w:tc>
          <w:tcPr>
            <w:tcW w:w="1027" w:type="dxa"/>
            <w:tcBorders>
              <w:top w:val="nil"/>
              <w:left w:val="nil"/>
              <w:bottom w:val="nil"/>
              <w:right w:val="nil"/>
            </w:tcBorders>
            <w:shd w:val="clear" w:color="auto" w:fill="F2F2F2" w:themeFill="background1" w:themeFillShade="F2"/>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财务管理</w:t>
            </w:r>
          </w:p>
        </w:tc>
        <w:tc>
          <w:tcPr>
            <w:tcW w:w="2698" w:type="dxa"/>
            <w:tcBorders>
              <w:top w:val="nil"/>
              <w:left w:val="nil"/>
              <w:bottom w:val="nil"/>
              <w:right w:val="nil"/>
            </w:tcBorders>
            <w:shd w:val="clear" w:color="auto" w:fill="F2F2F2" w:themeFill="background1" w:themeFillShade="F2"/>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向华为学财务：</w:t>
            </w:r>
          </w:p>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支撑经营目标的项目财务管理</w:t>
            </w:r>
          </w:p>
        </w:tc>
        <w:tc>
          <w:tcPr>
            <w:tcW w:w="2599" w:type="dxa"/>
            <w:tcBorders>
              <w:top w:val="nil"/>
              <w:left w:val="nil"/>
              <w:bottom w:val="nil"/>
              <w:right w:val="nil"/>
            </w:tcBorders>
            <w:shd w:val="clear" w:color="auto" w:fill="F2F2F2" w:themeFill="background1" w:themeFillShade="F2"/>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石军</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原华为海外地区</w:t>
            </w:r>
            <w:proofErr w:type="gramStart"/>
            <w:r>
              <w:rPr>
                <w:rFonts w:ascii="微软雅黑" w:eastAsia="微软雅黑" w:hAnsi="微软雅黑" w:cs="微软雅黑" w:hint="eastAsia"/>
                <w:sz w:val="15"/>
                <w:szCs w:val="15"/>
              </w:rPr>
              <w:t>部客户</w:t>
            </w:r>
            <w:proofErr w:type="gramEnd"/>
            <w:r>
              <w:rPr>
                <w:rFonts w:ascii="微软雅黑" w:eastAsia="微软雅黑" w:hAnsi="微软雅黑" w:cs="微软雅黑" w:hint="eastAsia"/>
                <w:sz w:val="15"/>
                <w:szCs w:val="15"/>
              </w:rPr>
              <w:t>及项目财务总监</w:t>
            </w:r>
          </w:p>
        </w:tc>
        <w:tc>
          <w:tcPr>
            <w:tcW w:w="450" w:type="dxa"/>
            <w:tcBorders>
              <w:top w:val="nil"/>
              <w:left w:val="nil"/>
              <w:bottom w:val="nil"/>
              <w:right w:val="nil"/>
            </w:tcBorders>
            <w:shd w:val="clear" w:color="auto" w:fill="F2F2F2" w:themeFill="background1" w:themeFillShade="F2"/>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F2F2F2" w:themeFill="background1" w:themeFillShade="F2"/>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6800</w:t>
            </w:r>
          </w:p>
        </w:tc>
        <w:tc>
          <w:tcPr>
            <w:tcW w:w="1213" w:type="dxa"/>
            <w:tcBorders>
              <w:top w:val="nil"/>
              <w:left w:val="nil"/>
              <w:bottom w:val="nil"/>
              <w:right w:val="nil"/>
            </w:tcBorders>
            <w:shd w:val="clear" w:color="auto" w:fill="D8D8D8" w:themeFill="background1" w:themeFillShade="D8"/>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19-20</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225" w:type="dxa"/>
            <w:tcBorders>
              <w:top w:val="nil"/>
              <w:left w:val="nil"/>
              <w:bottom w:val="nil"/>
              <w:right w:val="nil"/>
            </w:tcBorders>
            <w:shd w:val="clear" w:color="auto" w:fill="F2F2F2" w:themeFill="background1" w:themeFillShade="F2"/>
            <w:vAlign w:val="center"/>
          </w:tcPr>
          <w:p w:rsidR="00024555" w:rsidRDefault="00024555">
            <w:pPr>
              <w:spacing w:line="200" w:lineRule="exact"/>
              <w:jc w:val="center"/>
              <w:rPr>
                <w:rFonts w:ascii="微软雅黑" w:eastAsia="微软雅黑" w:hAnsi="微软雅黑" w:cs="微软雅黑"/>
                <w:sz w:val="15"/>
                <w:szCs w:val="15"/>
              </w:rPr>
            </w:pPr>
          </w:p>
        </w:tc>
        <w:tc>
          <w:tcPr>
            <w:tcW w:w="1087" w:type="dxa"/>
            <w:tcBorders>
              <w:top w:val="nil"/>
              <w:left w:val="nil"/>
              <w:bottom w:val="nil"/>
              <w:right w:val="nil"/>
            </w:tcBorders>
            <w:shd w:val="clear" w:color="auto" w:fill="F2F2F2" w:themeFill="background1" w:themeFillShade="F2"/>
            <w:vAlign w:val="center"/>
          </w:tcPr>
          <w:p w:rsidR="00024555" w:rsidRDefault="00024555">
            <w:pPr>
              <w:spacing w:line="200" w:lineRule="exact"/>
              <w:jc w:val="center"/>
              <w:rPr>
                <w:rFonts w:ascii="微软雅黑" w:eastAsia="微软雅黑" w:hAnsi="微软雅黑" w:cs="微软雅黑"/>
                <w:sz w:val="13"/>
                <w:szCs w:val="13"/>
              </w:rPr>
            </w:pPr>
          </w:p>
        </w:tc>
      </w:tr>
      <w:tr w:rsidR="00024555">
        <w:trPr>
          <w:trHeight w:val="725"/>
        </w:trPr>
        <w:tc>
          <w:tcPr>
            <w:tcW w:w="1027" w:type="dxa"/>
            <w:tcBorders>
              <w:top w:val="nil"/>
              <w:left w:val="nil"/>
              <w:bottom w:val="nil"/>
              <w:right w:val="nil"/>
            </w:tcBorders>
            <w:shd w:val="clear" w:color="auto" w:fill="DEEBF6"/>
            <w:vAlign w:val="center"/>
          </w:tcPr>
          <w:p w:rsidR="00024555" w:rsidRDefault="004F7B75">
            <w:pPr>
              <w:spacing w:line="24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价值</w:t>
            </w:r>
            <w:proofErr w:type="gramStart"/>
            <w:r>
              <w:rPr>
                <w:rFonts w:ascii="微软雅黑" w:eastAsia="微软雅黑" w:hAnsi="微软雅黑" w:cs="微软雅黑" w:hint="eastAsia"/>
                <w:sz w:val="15"/>
                <w:szCs w:val="15"/>
              </w:rPr>
              <w:t>型销售</w:t>
            </w:r>
            <w:proofErr w:type="gramEnd"/>
          </w:p>
        </w:tc>
        <w:tc>
          <w:tcPr>
            <w:tcW w:w="2698" w:type="dxa"/>
            <w:tcBorders>
              <w:top w:val="nil"/>
              <w:left w:val="nil"/>
              <w:bottom w:val="nil"/>
              <w:right w:val="nil"/>
            </w:tcBorders>
            <w:shd w:val="clear" w:color="auto" w:fill="DEEBF6"/>
            <w:vAlign w:val="center"/>
          </w:tcPr>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大订单的销售策略及其策略制定</w:t>
            </w:r>
          </w:p>
          <w:p w:rsidR="00024555" w:rsidRDefault="004F7B75">
            <w:pPr>
              <w:spacing w:line="24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方法论</w:t>
            </w:r>
          </w:p>
        </w:tc>
        <w:tc>
          <w:tcPr>
            <w:tcW w:w="2599" w:type="dxa"/>
            <w:tcBorders>
              <w:top w:val="nil"/>
              <w:left w:val="nil"/>
              <w:bottom w:val="nil"/>
              <w:right w:val="nil"/>
            </w:tcBorders>
            <w:shd w:val="clear" w:color="auto" w:fill="DEEBF6"/>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崔建中</w:t>
            </w:r>
            <w:r>
              <w:rPr>
                <w:rFonts w:ascii="微软雅黑" w:eastAsia="微软雅黑" w:hAnsi="微软雅黑" w:cs="微软雅黑" w:hint="eastAsia"/>
                <w:sz w:val="15"/>
                <w:szCs w:val="15"/>
              </w:rPr>
              <w:t xml:space="preserve"> </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著名销售专家／《纵横》作者</w:t>
            </w:r>
          </w:p>
        </w:tc>
        <w:tc>
          <w:tcPr>
            <w:tcW w:w="450"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w:t>
            </w:r>
          </w:p>
        </w:tc>
        <w:tc>
          <w:tcPr>
            <w:tcW w:w="875" w:type="dxa"/>
            <w:tcBorders>
              <w:top w:val="nil"/>
              <w:left w:val="nil"/>
              <w:bottom w:val="nil"/>
              <w:right w:val="nil"/>
            </w:tcBorders>
            <w:shd w:val="clear" w:color="auto" w:fill="DEEBF6"/>
            <w:vAlign w:val="center"/>
          </w:tcPr>
          <w:p w:rsidR="00024555" w:rsidRDefault="004F7B75">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4800</w:t>
            </w:r>
          </w:p>
        </w:tc>
        <w:tc>
          <w:tcPr>
            <w:tcW w:w="1213" w:type="dxa"/>
            <w:tcBorders>
              <w:top w:val="nil"/>
              <w:left w:val="nil"/>
              <w:bottom w:val="nil"/>
              <w:right w:val="nil"/>
            </w:tcBorders>
            <w:shd w:val="clear" w:color="auto" w:fill="DEEBF6" w:themeFill="accent1" w:themeFillTint="32"/>
            <w:vAlign w:val="center"/>
          </w:tcPr>
          <w:p w:rsidR="00024555" w:rsidRDefault="00024555">
            <w:pPr>
              <w:spacing w:line="200" w:lineRule="exact"/>
              <w:jc w:val="center"/>
              <w:rPr>
                <w:rFonts w:ascii="微软雅黑" w:eastAsia="微软雅黑" w:hAnsi="微软雅黑" w:cs="微软雅黑"/>
                <w:sz w:val="15"/>
                <w:szCs w:val="15"/>
              </w:rPr>
            </w:pPr>
          </w:p>
        </w:tc>
        <w:tc>
          <w:tcPr>
            <w:tcW w:w="1225" w:type="dxa"/>
            <w:tcBorders>
              <w:top w:val="nil"/>
              <w:left w:val="nil"/>
              <w:bottom w:val="nil"/>
              <w:right w:val="nil"/>
            </w:tcBorders>
            <w:shd w:val="clear" w:color="auto" w:fill="D8D8D8" w:themeFill="background1" w:themeFillShade="D8"/>
            <w:vAlign w:val="center"/>
          </w:tcPr>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1</w:t>
            </w:r>
            <w:r>
              <w:rPr>
                <w:rFonts w:ascii="微软雅黑" w:eastAsia="微软雅黑" w:hAnsi="微软雅黑" w:cs="微软雅黑" w:hint="eastAsia"/>
                <w:sz w:val="15"/>
                <w:szCs w:val="15"/>
              </w:rPr>
              <w:t>月</w:t>
            </w:r>
            <w:r>
              <w:rPr>
                <w:rFonts w:ascii="微软雅黑" w:eastAsia="微软雅黑" w:hAnsi="微软雅黑" w:cs="微软雅黑" w:hint="eastAsia"/>
                <w:sz w:val="15"/>
                <w:szCs w:val="15"/>
              </w:rPr>
              <w:t>23</w:t>
            </w:r>
            <w:r>
              <w:rPr>
                <w:rFonts w:ascii="微软雅黑" w:eastAsia="微软雅黑" w:hAnsi="微软雅黑" w:cs="微软雅黑" w:hint="eastAsia"/>
                <w:sz w:val="15"/>
                <w:szCs w:val="15"/>
              </w:rPr>
              <w:t>-</w:t>
            </w:r>
            <w:r>
              <w:rPr>
                <w:rFonts w:ascii="微软雅黑" w:eastAsia="微软雅黑" w:hAnsi="微软雅黑" w:cs="微软雅黑" w:hint="eastAsia"/>
                <w:sz w:val="15"/>
                <w:szCs w:val="15"/>
              </w:rPr>
              <w:t>24</w:t>
            </w:r>
            <w:r>
              <w:rPr>
                <w:rFonts w:ascii="微软雅黑" w:eastAsia="微软雅黑" w:hAnsi="微软雅黑" w:cs="微软雅黑" w:hint="eastAsia"/>
                <w:sz w:val="15"/>
                <w:szCs w:val="15"/>
              </w:rPr>
              <w:t>日</w:t>
            </w:r>
          </w:p>
          <w:p w:rsidR="00024555" w:rsidRDefault="004F7B75">
            <w:pPr>
              <w:spacing w:line="200" w:lineRule="exact"/>
              <w:jc w:val="center"/>
              <w:rPr>
                <w:rFonts w:ascii="微软雅黑" w:eastAsia="微软雅黑" w:hAnsi="微软雅黑" w:cs="微软雅黑"/>
                <w:sz w:val="15"/>
                <w:szCs w:val="15"/>
              </w:rPr>
            </w:pPr>
            <w:r>
              <w:rPr>
                <w:rFonts w:ascii="微软雅黑" w:eastAsia="微软雅黑" w:hAnsi="微软雅黑" w:cs="微软雅黑" w:hint="eastAsia"/>
                <w:sz w:val="15"/>
                <w:szCs w:val="15"/>
              </w:rPr>
              <w:t>上海</w:t>
            </w:r>
          </w:p>
        </w:tc>
        <w:tc>
          <w:tcPr>
            <w:tcW w:w="1087" w:type="dxa"/>
            <w:tcBorders>
              <w:top w:val="nil"/>
              <w:left w:val="nil"/>
              <w:bottom w:val="nil"/>
              <w:right w:val="nil"/>
            </w:tcBorders>
            <w:shd w:val="clear" w:color="auto" w:fill="DEEBF6" w:themeFill="accent1" w:themeFillTint="32"/>
            <w:vAlign w:val="center"/>
          </w:tcPr>
          <w:p w:rsidR="00024555" w:rsidRDefault="00024555">
            <w:pPr>
              <w:spacing w:line="200" w:lineRule="exact"/>
              <w:jc w:val="center"/>
              <w:rPr>
                <w:rFonts w:ascii="微软雅黑" w:eastAsia="微软雅黑" w:hAnsi="微软雅黑" w:cs="微软雅黑"/>
                <w:sz w:val="13"/>
                <w:szCs w:val="13"/>
              </w:rPr>
            </w:pPr>
          </w:p>
        </w:tc>
      </w:tr>
    </w:tbl>
    <w:p w:rsidR="00024555" w:rsidRDefault="00024555">
      <w:pPr>
        <w:spacing w:line="320" w:lineRule="exact"/>
        <w:rPr>
          <w:rFonts w:ascii="微软雅黑" w:eastAsia="微软雅黑" w:hAnsi="微软雅黑" w:cs="微软雅黑"/>
          <w:b/>
          <w:bCs/>
          <w:color w:val="C00000"/>
          <w:sz w:val="28"/>
          <w:szCs w:val="28"/>
        </w:rPr>
      </w:pPr>
    </w:p>
    <w:p w:rsidR="00024555" w:rsidRDefault="00024555">
      <w:pPr>
        <w:spacing w:line="320" w:lineRule="exact"/>
        <w:rPr>
          <w:rFonts w:ascii="微软雅黑" w:eastAsia="微软雅黑" w:hAnsi="微软雅黑" w:cs="微软雅黑"/>
          <w:b/>
          <w:bCs/>
          <w:color w:val="C00000"/>
          <w:sz w:val="28"/>
          <w:szCs w:val="28"/>
        </w:rPr>
      </w:pPr>
    </w:p>
    <w:p w:rsidR="00024555" w:rsidRDefault="00024555">
      <w:pPr>
        <w:spacing w:line="320" w:lineRule="exact"/>
        <w:rPr>
          <w:rFonts w:ascii="微软雅黑" w:eastAsia="微软雅黑" w:hAnsi="微软雅黑" w:cs="微软雅黑"/>
          <w:b/>
          <w:bCs/>
          <w:color w:val="C00000"/>
          <w:sz w:val="28"/>
          <w:szCs w:val="28"/>
        </w:rPr>
      </w:pPr>
    </w:p>
    <w:p w:rsidR="00024555" w:rsidRDefault="004F7B75">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024555" w:rsidRDefault="00024555">
      <w:pPr>
        <w:spacing w:line="360" w:lineRule="exact"/>
        <w:rPr>
          <w:rFonts w:ascii="微软雅黑" w:eastAsia="微软雅黑" w:hAnsi="微软雅黑" w:cs="微软雅黑"/>
        </w:rPr>
      </w:pPr>
    </w:p>
    <w:p w:rsidR="00024555" w:rsidRDefault="004F7B75">
      <w:pPr>
        <w:spacing w:line="360" w:lineRule="exact"/>
        <w:ind w:firstLine="420"/>
        <w:rPr>
          <w:rFonts w:ascii="微软雅黑" w:eastAsia="微软雅黑" w:hAnsi="微软雅黑" w:cs="微软雅黑"/>
        </w:rPr>
      </w:pPr>
      <w:r>
        <w:rPr>
          <w:rFonts w:ascii="微软雅黑" w:eastAsia="微软雅黑" w:hAnsi="微软雅黑" w:cs="微软雅黑" w:hint="eastAsia"/>
        </w:rPr>
        <w:t>乔诺商学院整合各细分领域</w:t>
      </w:r>
      <w:proofErr w:type="gramStart"/>
      <w:r>
        <w:rPr>
          <w:rFonts w:ascii="微软雅黑" w:eastAsia="微软雅黑" w:hAnsi="微软雅黑" w:cs="微软雅黑" w:hint="eastAsia"/>
        </w:rPr>
        <w:t>最佳专家</w:t>
      </w:r>
      <w:proofErr w:type="gramEnd"/>
      <w:r>
        <w:rPr>
          <w:rFonts w:ascii="微软雅黑" w:eastAsia="微软雅黑" w:hAnsi="微软雅黑" w:cs="微软雅黑" w:hint="eastAsia"/>
        </w:rPr>
        <w:t>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w:t>
      </w:r>
      <w:proofErr w:type="gramEnd"/>
      <w:r>
        <w:rPr>
          <w:rFonts w:ascii="微软雅黑" w:eastAsia="微软雅黑" w:hAnsi="微软雅黑" w:cs="微软雅黑" w:hint="eastAsia"/>
        </w:rPr>
        <w:t>与咨询等多种服务形式支持企业打造“以客户为中心、以奋斗者为本”的管理体系，帮助企业实现“用规则的确定性来应对结果的不确定性”。</w:t>
      </w:r>
    </w:p>
    <w:p w:rsidR="00024555" w:rsidRDefault="00024555">
      <w:pPr>
        <w:spacing w:line="360" w:lineRule="exact"/>
        <w:ind w:firstLine="420"/>
        <w:rPr>
          <w:rFonts w:ascii="微软雅黑" w:eastAsia="微软雅黑" w:hAnsi="微软雅黑" w:cs="微软雅黑"/>
        </w:rPr>
      </w:pPr>
    </w:p>
    <w:p w:rsidR="00024555" w:rsidRDefault="004F7B75">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024555" w:rsidRDefault="00024555">
      <w:pPr>
        <w:spacing w:line="360" w:lineRule="exact"/>
        <w:rPr>
          <w:rFonts w:ascii="微软雅黑" w:eastAsia="微软雅黑" w:hAnsi="微软雅黑" w:cs="微软雅黑"/>
          <w:b/>
          <w:bCs/>
          <w:color w:val="C00000"/>
          <w:sz w:val="22"/>
          <w:szCs w:val="28"/>
        </w:rPr>
      </w:pPr>
    </w:p>
    <w:p w:rsidR="00024555" w:rsidRDefault="004F7B75">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024555" w:rsidRDefault="00024555">
      <w:pPr>
        <w:spacing w:line="360" w:lineRule="exact"/>
        <w:rPr>
          <w:rFonts w:ascii="微软雅黑" w:eastAsia="微软雅黑" w:hAnsi="微软雅黑" w:cs="微软雅黑"/>
          <w:b/>
          <w:bCs/>
          <w:sz w:val="22"/>
          <w:szCs w:val="28"/>
        </w:rPr>
      </w:pPr>
    </w:p>
    <w:p w:rsidR="00024555" w:rsidRDefault="004F7B75">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024555" w:rsidRDefault="00024555">
      <w:pPr>
        <w:spacing w:line="360" w:lineRule="exact"/>
        <w:rPr>
          <w:rFonts w:ascii="微软雅黑" w:eastAsia="微软雅黑" w:hAnsi="微软雅黑" w:cs="微软雅黑"/>
          <w:sz w:val="22"/>
          <w:szCs w:val="28"/>
        </w:rPr>
      </w:pPr>
    </w:p>
    <w:p w:rsidR="00024555" w:rsidRDefault="004F7B75">
      <w:pPr>
        <w:spacing w:line="360" w:lineRule="exact"/>
        <w:ind w:firstLine="420"/>
        <w:rPr>
          <w:rFonts w:ascii="微软雅黑" w:eastAsia="微软雅黑" w:hAnsi="微软雅黑" w:cs="微软雅黑"/>
        </w:rPr>
      </w:pPr>
      <w:r>
        <w:rPr>
          <w:rFonts w:ascii="微软雅黑" w:eastAsia="微软雅黑" w:hAnsi="微软雅黑" w:cs="微软雅黑" w:hint="eastAsia"/>
        </w:rPr>
        <w:t>咨询电话：</w:t>
      </w:r>
      <w:r>
        <w:rPr>
          <w:rFonts w:ascii="微软雅黑" w:eastAsia="微软雅黑" w:hAnsi="微软雅黑" w:cs="微软雅黑" w:hint="eastAsia"/>
        </w:rPr>
        <w:t>400-086-8596</w:t>
      </w:r>
    </w:p>
    <w:p w:rsidR="00024555" w:rsidRDefault="00024555">
      <w:pPr>
        <w:spacing w:line="360" w:lineRule="exact"/>
        <w:rPr>
          <w:rFonts w:ascii="微软雅黑" w:eastAsia="微软雅黑" w:hAnsi="微软雅黑" w:cs="微软雅黑"/>
        </w:rPr>
      </w:pPr>
    </w:p>
    <w:p w:rsidR="00024555" w:rsidRDefault="00024555">
      <w:pPr>
        <w:spacing w:line="360" w:lineRule="exact"/>
        <w:rPr>
          <w:rFonts w:ascii="微软雅黑" w:eastAsia="微软雅黑" w:hAnsi="微软雅黑" w:cs="微软雅黑"/>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spacing w:line="440" w:lineRule="exact"/>
        <w:jc w:val="left"/>
        <w:rPr>
          <w:rFonts w:ascii="微软雅黑" w:eastAsia="微软雅黑" w:hAnsi="微软雅黑" w:cs="微软雅黑"/>
          <w:b/>
          <w:color w:val="0070C0"/>
          <w:sz w:val="24"/>
          <w:szCs w:val="24"/>
        </w:rPr>
      </w:pPr>
    </w:p>
    <w:p w:rsidR="00024555" w:rsidRDefault="00024555">
      <w:pPr>
        <w:rPr>
          <w:rFonts w:ascii="微软雅黑" w:eastAsia="微软雅黑" w:hAnsi="微软雅黑" w:cs="微软雅黑"/>
          <w:b/>
          <w:color w:val="0070C0"/>
          <w:sz w:val="24"/>
          <w:szCs w:val="24"/>
        </w:rPr>
      </w:pPr>
    </w:p>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 w:rsidR="00024555" w:rsidRDefault="00024555">
      <w:pPr>
        <w:snapToGrid w:val="0"/>
        <w:spacing w:line="280" w:lineRule="exact"/>
        <w:outlineLvl w:val="0"/>
        <w:rPr>
          <w:rFonts w:ascii="微软雅黑" w:eastAsia="微软雅黑" w:hAnsi="微软雅黑" w:cs="微软雅黑"/>
          <w:sz w:val="24"/>
        </w:rPr>
      </w:pPr>
    </w:p>
    <w:p w:rsidR="00024555" w:rsidRDefault="00024555">
      <w:pPr>
        <w:snapToGrid w:val="0"/>
        <w:spacing w:line="280" w:lineRule="exact"/>
        <w:jc w:val="center"/>
        <w:outlineLvl w:val="0"/>
        <w:rPr>
          <w:rFonts w:ascii="微软雅黑" w:eastAsia="微软雅黑" w:hAnsi="微软雅黑" w:cs="微软雅黑"/>
          <w:sz w:val="24"/>
        </w:rPr>
      </w:pPr>
    </w:p>
    <w:p w:rsidR="00024555" w:rsidRDefault="00024555">
      <w:pPr>
        <w:snapToGrid w:val="0"/>
        <w:spacing w:line="280" w:lineRule="exact"/>
        <w:jc w:val="center"/>
        <w:outlineLvl w:val="0"/>
        <w:rPr>
          <w:rFonts w:ascii="微软雅黑" w:eastAsia="微软雅黑" w:hAnsi="微软雅黑" w:cs="微软雅黑"/>
          <w:sz w:val="24"/>
        </w:rPr>
      </w:pPr>
    </w:p>
    <w:p w:rsidR="00024555" w:rsidRDefault="00024555">
      <w:pPr>
        <w:snapToGrid w:val="0"/>
        <w:spacing w:line="280" w:lineRule="exact"/>
        <w:jc w:val="center"/>
        <w:outlineLvl w:val="0"/>
        <w:rPr>
          <w:rFonts w:ascii="微软雅黑" w:eastAsia="微软雅黑" w:hAnsi="微软雅黑" w:cs="微软雅黑"/>
          <w:sz w:val="24"/>
        </w:rPr>
      </w:pPr>
    </w:p>
    <w:p w:rsidR="00024555" w:rsidRDefault="00024555">
      <w:pPr>
        <w:snapToGrid w:val="0"/>
        <w:spacing w:line="280" w:lineRule="exact"/>
        <w:jc w:val="center"/>
        <w:outlineLvl w:val="0"/>
        <w:rPr>
          <w:rFonts w:ascii="微软雅黑" w:eastAsia="微软雅黑" w:hAnsi="微软雅黑" w:cs="微软雅黑"/>
          <w:sz w:val="24"/>
        </w:rPr>
      </w:pPr>
    </w:p>
    <w:p w:rsidR="00024555" w:rsidRDefault="00024555"/>
    <w:sectPr w:rsidR="00024555">
      <w:headerReference w:type="default" r:id="rId16"/>
      <w:footerReference w:type="default" r:id="rId17"/>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B75" w:rsidRDefault="004F7B75">
      <w:r>
        <w:separator/>
      </w:r>
    </w:p>
  </w:endnote>
  <w:endnote w:type="continuationSeparator" w:id="0">
    <w:p w:rsidR="004F7B75" w:rsidRDefault="004F7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555" w:rsidRDefault="004F7B75">
    <w:pPr>
      <w:pStyle w:val="a3"/>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rsidR="00024555" w:rsidRDefault="004F7B75">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9" type="#_x0000_t202" style="position:absolute;margin-left:41pt;margin-top:11.9pt;width:324.7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" filled="f" stroked="f" strokeweight=".5pt">
              <v:textbox>
                <w:txbxContent>
                  <w:p w:rsidR="00024555" w:rsidRDefault="004F7B75">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B75" w:rsidRDefault="004F7B75">
      <w:r>
        <w:separator/>
      </w:r>
    </w:p>
  </w:footnote>
  <w:footnote w:type="continuationSeparator" w:id="0">
    <w:p w:rsidR="004F7B75" w:rsidRDefault="004F7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555" w:rsidRDefault="004F7B75">
    <w:pPr>
      <w:pStyle w:val="a4"/>
    </w:pPr>
    <w:r>
      <w:rPr>
        <w:rFonts w:hint="eastAsia"/>
        <w:noProof/>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812EC"/>
    <w:multiLevelType w:val="multilevel"/>
    <w:tmpl w:val="2AB812E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7A9"/>
    <w:rsid w:val="0001142A"/>
    <w:rsid w:val="00012B28"/>
    <w:rsid w:val="00024555"/>
    <w:rsid w:val="00026122"/>
    <w:rsid w:val="00047A6B"/>
    <w:rsid w:val="000A2ED2"/>
    <w:rsid w:val="000B6985"/>
    <w:rsid w:val="000F6681"/>
    <w:rsid w:val="00102A26"/>
    <w:rsid w:val="00115AA7"/>
    <w:rsid w:val="001419F7"/>
    <w:rsid w:val="00172A27"/>
    <w:rsid w:val="0019648A"/>
    <w:rsid w:val="001B3787"/>
    <w:rsid w:val="001B65AB"/>
    <w:rsid w:val="001C2B00"/>
    <w:rsid w:val="001C7AAA"/>
    <w:rsid w:val="00203583"/>
    <w:rsid w:val="00214A8A"/>
    <w:rsid w:val="002247DF"/>
    <w:rsid w:val="00244FE5"/>
    <w:rsid w:val="00246A68"/>
    <w:rsid w:val="002501C1"/>
    <w:rsid w:val="0025288B"/>
    <w:rsid w:val="00266900"/>
    <w:rsid w:val="0027201E"/>
    <w:rsid w:val="00347137"/>
    <w:rsid w:val="00357D1C"/>
    <w:rsid w:val="00364122"/>
    <w:rsid w:val="003653C6"/>
    <w:rsid w:val="003B30BA"/>
    <w:rsid w:val="003D2B5A"/>
    <w:rsid w:val="003F3B65"/>
    <w:rsid w:val="00400D5A"/>
    <w:rsid w:val="00413CD7"/>
    <w:rsid w:val="004149D1"/>
    <w:rsid w:val="00435B66"/>
    <w:rsid w:val="00450BCD"/>
    <w:rsid w:val="00480ED0"/>
    <w:rsid w:val="00492E1F"/>
    <w:rsid w:val="004B064F"/>
    <w:rsid w:val="004B2DF2"/>
    <w:rsid w:val="004F7B75"/>
    <w:rsid w:val="00526D85"/>
    <w:rsid w:val="00527AFF"/>
    <w:rsid w:val="00544A91"/>
    <w:rsid w:val="00544CCF"/>
    <w:rsid w:val="00570839"/>
    <w:rsid w:val="00581AD5"/>
    <w:rsid w:val="00582BA3"/>
    <w:rsid w:val="0060535E"/>
    <w:rsid w:val="0062659B"/>
    <w:rsid w:val="006A5944"/>
    <w:rsid w:val="006B109B"/>
    <w:rsid w:val="006E3E41"/>
    <w:rsid w:val="0071041E"/>
    <w:rsid w:val="00786820"/>
    <w:rsid w:val="00786B53"/>
    <w:rsid w:val="007B1200"/>
    <w:rsid w:val="007C5E69"/>
    <w:rsid w:val="007F018A"/>
    <w:rsid w:val="00801ED0"/>
    <w:rsid w:val="008075AA"/>
    <w:rsid w:val="0081207D"/>
    <w:rsid w:val="008420E3"/>
    <w:rsid w:val="00864360"/>
    <w:rsid w:val="00884D48"/>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7396"/>
    <w:rsid w:val="00AF3B50"/>
    <w:rsid w:val="00B71ED5"/>
    <w:rsid w:val="00BB054C"/>
    <w:rsid w:val="00BB6713"/>
    <w:rsid w:val="00BC39ED"/>
    <w:rsid w:val="00BD1106"/>
    <w:rsid w:val="00BD656D"/>
    <w:rsid w:val="00BE49C4"/>
    <w:rsid w:val="00C14AB7"/>
    <w:rsid w:val="00C308B9"/>
    <w:rsid w:val="00C414E0"/>
    <w:rsid w:val="00C4160A"/>
    <w:rsid w:val="00C51D03"/>
    <w:rsid w:val="00C976EA"/>
    <w:rsid w:val="00CA2EC1"/>
    <w:rsid w:val="00CE192C"/>
    <w:rsid w:val="00D25225"/>
    <w:rsid w:val="00D377D0"/>
    <w:rsid w:val="00D53118"/>
    <w:rsid w:val="00D7505E"/>
    <w:rsid w:val="00D90CBB"/>
    <w:rsid w:val="00D912B7"/>
    <w:rsid w:val="00DB5696"/>
    <w:rsid w:val="00DC032D"/>
    <w:rsid w:val="00DC1507"/>
    <w:rsid w:val="00DC316C"/>
    <w:rsid w:val="00DD0B4A"/>
    <w:rsid w:val="00DE6DFA"/>
    <w:rsid w:val="00E6246F"/>
    <w:rsid w:val="00E6278D"/>
    <w:rsid w:val="00E81A09"/>
    <w:rsid w:val="00E83860"/>
    <w:rsid w:val="00EE0422"/>
    <w:rsid w:val="00F02470"/>
    <w:rsid w:val="00F12765"/>
    <w:rsid w:val="00F67098"/>
    <w:rsid w:val="00F82B83"/>
    <w:rsid w:val="00F93323"/>
    <w:rsid w:val="00F94E76"/>
    <w:rsid w:val="032A109A"/>
    <w:rsid w:val="035C5027"/>
    <w:rsid w:val="05FF4BA6"/>
    <w:rsid w:val="065A716A"/>
    <w:rsid w:val="08DF270B"/>
    <w:rsid w:val="0A585633"/>
    <w:rsid w:val="0CB13319"/>
    <w:rsid w:val="0D9517BE"/>
    <w:rsid w:val="0DDE28AD"/>
    <w:rsid w:val="11604615"/>
    <w:rsid w:val="12453C0B"/>
    <w:rsid w:val="16D91BF1"/>
    <w:rsid w:val="19147E78"/>
    <w:rsid w:val="1A9837F5"/>
    <w:rsid w:val="1AC04EAA"/>
    <w:rsid w:val="1B2D32CC"/>
    <w:rsid w:val="1DC26782"/>
    <w:rsid w:val="1EC615A2"/>
    <w:rsid w:val="20565A7C"/>
    <w:rsid w:val="225222B0"/>
    <w:rsid w:val="25240585"/>
    <w:rsid w:val="25814DD5"/>
    <w:rsid w:val="29B64301"/>
    <w:rsid w:val="29EF3A63"/>
    <w:rsid w:val="2D045A40"/>
    <w:rsid w:val="31B11A05"/>
    <w:rsid w:val="325547EA"/>
    <w:rsid w:val="34542700"/>
    <w:rsid w:val="34F43B0E"/>
    <w:rsid w:val="36640A7B"/>
    <w:rsid w:val="367F0250"/>
    <w:rsid w:val="376247AB"/>
    <w:rsid w:val="39DB7CA9"/>
    <w:rsid w:val="3C647C37"/>
    <w:rsid w:val="3E184274"/>
    <w:rsid w:val="3F89771B"/>
    <w:rsid w:val="420B4F10"/>
    <w:rsid w:val="445459FB"/>
    <w:rsid w:val="467A7A90"/>
    <w:rsid w:val="4794006A"/>
    <w:rsid w:val="4B817DBA"/>
    <w:rsid w:val="4BCB7112"/>
    <w:rsid w:val="4C226E57"/>
    <w:rsid w:val="4CC36D71"/>
    <w:rsid w:val="4D45092C"/>
    <w:rsid w:val="4DC37A09"/>
    <w:rsid w:val="4FE12BE5"/>
    <w:rsid w:val="51277A00"/>
    <w:rsid w:val="517C5413"/>
    <w:rsid w:val="54E67C40"/>
    <w:rsid w:val="550C7785"/>
    <w:rsid w:val="57075398"/>
    <w:rsid w:val="584C3F39"/>
    <w:rsid w:val="587B4973"/>
    <w:rsid w:val="5BEE4A68"/>
    <w:rsid w:val="608D741C"/>
    <w:rsid w:val="60927648"/>
    <w:rsid w:val="61D84193"/>
    <w:rsid w:val="64093840"/>
    <w:rsid w:val="64677E71"/>
    <w:rsid w:val="65C60D9F"/>
    <w:rsid w:val="663C2F6A"/>
    <w:rsid w:val="666974D3"/>
    <w:rsid w:val="677446E9"/>
    <w:rsid w:val="683425B0"/>
    <w:rsid w:val="69A90DD3"/>
    <w:rsid w:val="6C004A82"/>
    <w:rsid w:val="6D1A113A"/>
    <w:rsid w:val="6EDC6DA3"/>
    <w:rsid w:val="6F8427B6"/>
    <w:rsid w:val="70A73534"/>
    <w:rsid w:val="72276669"/>
    <w:rsid w:val="74C9351B"/>
    <w:rsid w:val="786E03FC"/>
    <w:rsid w:val="78DD5A9F"/>
    <w:rsid w:val="7A9A2E6B"/>
    <w:rsid w:val="7BB24A48"/>
    <w:rsid w:val="7C341C9F"/>
    <w:rsid w:val="7ED3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AC5546"/>
  <w15:docId w15:val="{249016F4-1CFB-4A7F-9B2B-3B428AF1A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both"/>
    </w:pPr>
    <w:rPr>
      <w:rFonts w:ascii="Calibri" w:hAnsi="Calibri"/>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qFormat/>
    <w:pPr>
      <w:spacing w:before="100" w:beforeAutospacing="1" w:after="100" w:afterAutospacing="1"/>
      <w:jc w:val="left"/>
    </w:pPr>
    <w:rPr>
      <w:rFonts w:ascii="宋体" w:hAnsi="宋体" w:cs="宋体"/>
      <w:kern w:val="0"/>
      <w:sz w:val="24"/>
      <w:szCs w:val="24"/>
    </w:rPr>
  </w:style>
  <w:style w:type="character" w:styleId="a6">
    <w:name w:val="Hyperlink"/>
    <w:basedOn w:val="a0"/>
    <w:qFormat/>
    <w:rPr>
      <w:color w:val="0563C1" w:themeColor="hyperlink"/>
      <w:u w:val="single"/>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unhideWhenUsed/>
    <w:qFormat/>
    <w:pPr>
      <w:widowControl w:val="0"/>
      <w:autoSpaceDE w:val="0"/>
      <w:autoSpaceDN w:val="0"/>
      <w:adjustRightInd w:val="0"/>
    </w:pPr>
    <w:rPr>
      <w:rFonts w:ascii="微软雅黑" w:eastAsia="微软雅黑" w:hAnsi="微软雅黑" w:hint="eastAsia"/>
      <w:color w:val="000000"/>
      <w:sz w:val="24"/>
    </w:rPr>
  </w:style>
  <w:style w:type="paragraph" w:customStyle="1" w:styleId="1">
    <w:name w:val="列出段落1"/>
    <w:basedOn w:val="a"/>
    <w:uiPriority w:val="34"/>
    <w:qFormat/>
    <w:pPr>
      <w:ind w:firstLineChars="200" w:firstLine="420"/>
    </w:pPr>
  </w:style>
  <w:style w:type="paragraph" w:styleId="a8">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B20C4E-EF98-412C-8403-ECEA0BDB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390</Words>
  <Characters>2226</Characters>
  <Application>Microsoft Office Word</Application>
  <DocSecurity>0</DocSecurity>
  <Lines>18</Lines>
  <Paragraphs>5</Paragraphs>
  <ScaleCrop>false</ScaleCrop>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3397197035@qq.com</cp:lastModifiedBy>
  <cp:revision>64</cp:revision>
  <cp:lastPrinted>2016-12-02T05:36:00Z</cp:lastPrinted>
  <dcterms:created xsi:type="dcterms:W3CDTF">2016-12-22T09:39:00Z</dcterms:created>
  <dcterms:modified xsi:type="dcterms:W3CDTF">2018-12-19T05:57:00Z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