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进出口商品归类技巧及争议解决</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公司高管、进出口部门经理、采购经理、物流经理、财务经理、关务主管及相关人员。</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课程特色：</w:t>
      </w:r>
    </w:p>
    <w:p>
      <w:pPr>
        <w:widowControl/>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知识的系统性：把握商品归类工作重难点，全程案例教学，充分理解和掌握海关商品归类正确操作；</w:t>
      </w:r>
    </w:p>
    <w:p>
      <w:pPr>
        <w:widowControl/>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内容的实用性：洞悉商品归类海关管理和技术操作技巧，对企业的关务工作提供切实的指导和帮助；</w:t>
      </w:r>
    </w:p>
    <w:p>
      <w:pPr>
        <w:widowControl/>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讲解的实战性：以最新最全的海关案例来解析课程内容，以成功的经验解决学员实际工作中的难题；</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课程收益：</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 xml:space="preserve">本课程可以让培训者获得以下收益： </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⒈ 对国际通用的《协调制度》在海关管理、贸易管制、出口退税等方面的应用具有一定的了解； </w:t>
      </w:r>
    </w:p>
    <w:p>
      <w:pPr>
        <w:adjustRightInd w:val="0"/>
        <w:snapToGrid w:val="0"/>
        <w:rPr>
          <w:rFonts w:ascii="微软雅黑" w:hAnsi="微软雅黑" w:eastAsia="微软雅黑"/>
          <w:szCs w:val="21"/>
        </w:rPr>
      </w:pPr>
      <w:r>
        <w:rPr>
          <w:rFonts w:hint="eastAsia" w:ascii="微软雅黑" w:hAnsi="微软雅黑" w:eastAsia="微软雅黑"/>
          <w:szCs w:val="21"/>
        </w:rPr>
        <w:t>⒉ 熟悉我国海关对进出口商品的归类工作机制，通过对其归类技术层面的条款及法律依据的充分掌握，合理规避相关税费，谋取企业经济利益最大化；</w:t>
      </w:r>
    </w:p>
    <w:p>
      <w:pPr>
        <w:adjustRightInd w:val="0"/>
        <w:snapToGrid w:val="0"/>
        <w:rPr>
          <w:rFonts w:ascii="微软雅黑" w:hAnsi="微软雅黑" w:eastAsia="微软雅黑"/>
          <w:b/>
          <w:color w:val="FF0000"/>
          <w:sz w:val="24"/>
        </w:rPr>
      </w:pPr>
      <w:r>
        <w:rPr>
          <w:rFonts w:hint="eastAsia" w:ascii="微软雅黑" w:hAnsi="微软雅黑" w:eastAsia="微软雅黑"/>
          <w:szCs w:val="21"/>
        </w:rPr>
        <w:t>⒊ 充分理解海关新近推出的归类相关法律法规文件，合理有效的利用这些政策降低成本，便利通关。</w:t>
      </w:r>
    </w:p>
    <w:p>
      <w:pPr>
        <w:widowControl/>
        <w:adjustRightInd w:val="0"/>
        <w:snapToGrid w:val="0"/>
        <w:ind w:left="1" w:hanging="1"/>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宋体" w:hAnsi="宋体" w:cs="宋体"/>
          <w:kern w:val="0"/>
          <w:sz w:val="20"/>
          <w:szCs w:val="20"/>
        </w:rPr>
        <w:t xml:space="preserve">  </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课程大纲：</w:t>
      </w:r>
    </w:p>
    <w:p>
      <w:pPr>
        <w:widowControl/>
        <w:adjustRightInd w:val="0"/>
        <w:snapToGrid w:val="0"/>
        <w:jc w:val="left"/>
        <w:rPr>
          <w:rFonts w:ascii="微软雅黑" w:hAnsi="微软雅黑" w:eastAsia="微软雅黑" w:cs="宋体"/>
          <w:b/>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第一模块、海关商品归类与《税则》的关系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1、进出口贸易商品分类目录发展历程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2、《协调制度》在我国应用演变情况</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3、《税则》实施与管理的现状与展望</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4、海关税收形式与企业商品归类风险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第二模块、进出口商品归类政策解析与应对</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1、海关商品归类政策的有效运用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 ***案引发的国际贸易争端</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3、我国对外贸易管制的基本框架</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4、中国与美欧汽车零部件贸易争端</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5、典型商品海关归类政策运用剖析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6、海关商品归类政策运用途径解析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7、HS编码确定在中国为何如此重要</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8、海关颁布的归类政策的理解与应用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第三模块、进出口商品归类管理解析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1、进出口税则结构及税号子目编排</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2、中国海关商品归类的组织机构及全国分布</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3、海关商品归类工作总流程及风险监控流程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4、海关化验与社会化验的辩证关系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5、海关化验的组织结构及其法律地位</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6、海关化验工作流程及其管理相对人的权利和义务</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7、海关商品预归类（商品归类行政裁定）申请流程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8、预归类指导意见书的法律效力与实际使用效果</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9、海关商品预归类、归类行政裁定及归类决定对比</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10、海关系统内部商品归类疑难问题的处理流程和思路</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11、海关与企业对商品归类争议的有效解决途径</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12、我国现行海关商品归类磋商机制存在的缺陷性</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13、企业如何确实有效的运用好商品归类磋商机制</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14、欧美发达国家海关商品归类争议的解决途径及借鉴性</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15、我国目前相关企业对海关商品归类工作的态度及解决方法</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16、如与海关就商品归类产生利益分歧,如何与其打交道并有效争取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第四模块、进出口商品归类实务操作技巧与应对之道</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1、企业商品归类工作开展与出口退税操作的关系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2、企业相关人员正确开展海关商品归类工作的基础</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3、哪些是在进行商品归类过程中可采用的法律依据</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4、《中华人民共和国进出口税则》结构及商品分布情况</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5、结合案例对归类总规则（一-六）的理解及其正确运用</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6、东西方文化差异对海关进出口商品归类的影响及如何规避</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7、行业标准或约定与《协调制度注释》产生分歧该如何解决</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8、海关对部分化工品、轻工产品的归类思路及操作技巧解析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9、《协调制度》中的机电商品范畴及其分布情况</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10、进出口机器零部件的归类思路及其操作技巧解析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11、海关对组合机器和多功能机组的归类思路及现行的操作方法</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12、目前企业对进出口商品归类工作的操作策略（粗放型和智能型）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13、企业价格、原产地申报与海关对商品HS编码核查之间的内在联系</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14、商品归类工作开展商品详细资料获取路径与跨部门合作</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15、进出口商品HS编码的合规性评估与其适用性的内部审计</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16、企业相关人员如何切实有效的运用商品归类便利通关、节约成本</w:t>
      </w:r>
    </w:p>
    <w:p>
      <w:pPr>
        <w:widowControl/>
        <w:adjustRightInd w:val="0"/>
        <w:snapToGrid w:val="0"/>
        <w:jc w:val="left"/>
        <w:rPr>
          <w:rFonts w:ascii="微软雅黑" w:hAnsi="微软雅黑" w:eastAsia="微软雅黑" w:cs="宋体"/>
          <w:kern w:val="0"/>
          <w:szCs w:val="21"/>
        </w:rPr>
        <w:sectPr>
          <w:type w:val="continuous"/>
          <w:pgSz w:w="11906" w:h="16838"/>
          <w:pgMar w:top="1134" w:right="1286" w:bottom="851" w:left="1134" w:header="851" w:footer="229" w:gutter="0"/>
          <w:pgNumType w:fmt="numberInDash"/>
          <w:cols w:space="425" w:num="2" w:sep="1"/>
          <w:docGrid w:type="linesAndChars" w:linePitch="312" w:charSpace="0"/>
        </w:sectPr>
      </w:pPr>
      <w:r>
        <w:rPr>
          <w:rFonts w:hint="eastAsia" w:ascii="微软雅黑" w:hAnsi="微软雅黑" w:eastAsia="微软雅黑" w:cs="宋体"/>
          <w:kern w:val="0"/>
          <w:szCs w:val="21"/>
        </w:rPr>
        <w:t>……</w:t>
      </w:r>
    </w:p>
    <w:p>
      <w:pPr>
        <w:spacing w:line="360" w:lineRule="auto"/>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ascii="微软雅黑" w:hAnsi="微软雅黑" w:eastAsia="微软雅黑" w:cs="宋体"/>
          <w:color w:val="000000"/>
          <w:kern w:val="0"/>
          <w:szCs w:val="21"/>
        </w:rPr>
        <w:drawing>
          <wp:anchor distT="0" distB="0" distL="114300" distR="114300" simplePos="0" relativeHeight="251658240" behindDoc="0" locked="0" layoutInCell="1" allowOverlap="1">
            <wp:simplePos x="0" y="0"/>
            <wp:positionH relativeFrom="column">
              <wp:posOffset>4473575</wp:posOffset>
            </wp:positionH>
            <wp:positionV relativeFrom="paragraph">
              <wp:posOffset>6985</wp:posOffset>
            </wp:positionV>
            <wp:extent cx="1188720" cy="1499870"/>
            <wp:effectExtent l="19050" t="0" r="11430" b="462915"/>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615" cy="15095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hint="eastAsia" w:ascii="微软雅黑" w:hAnsi="微软雅黑" w:eastAsia="微软雅黑"/>
          <w:b/>
          <w:color w:val="FF0000"/>
          <w:sz w:val="24"/>
        </w:rPr>
        <w:t>讲师介绍：</w:t>
      </w:r>
    </w:p>
    <w:p>
      <w:pPr>
        <w:widowControl/>
        <w:adjustRightInd w:val="0"/>
        <w:snapToGrid w:val="0"/>
        <w:rPr>
          <w:rFonts w:ascii="微软雅黑" w:hAnsi="微软雅黑" w:eastAsia="微软雅黑" w:cs="宋体"/>
          <w:b/>
          <w:bCs/>
          <w:color w:val="000000"/>
          <w:kern w:val="0"/>
          <w:sz w:val="24"/>
          <w:szCs w:val="21"/>
        </w:rPr>
      </w:pPr>
      <w:r>
        <w:rPr>
          <w:rFonts w:hint="eastAsia" w:ascii="微软雅黑" w:hAnsi="微软雅黑" w:eastAsia="微软雅黑" w:cs="宋体"/>
          <w:b/>
          <w:bCs/>
          <w:color w:val="000000"/>
          <w:kern w:val="0"/>
          <w:sz w:val="24"/>
          <w:szCs w:val="21"/>
        </w:rPr>
        <w:t>Mr. Leon  Wang</w:t>
      </w:r>
    </w:p>
    <w:p>
      <w:pPr>
        <w:widowControl/>
        <w:adjustRightInd w:val="0"/>
        <w:snapToGrid w:val="0"/>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现为海关总署和帕迪咨询高级讲师，曾在上海海关工作10余年，</w:t>
      </w:r>
    </w:p>
    <w:p>
      <w:pPr>
        <w:widowControl/>
        <w:adjustRightInd w:val="0"/>
        <w:snapToGrid w:val="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主要从事中国关务研究与培训工作，如HS编码专业审核、关务风险</w:t>
      </w:r>
    </w:p>
    <w:p>
      <w:pPr>
        <w:widowControl/>
        <w:adjustRightInd w:val="0"/>
        <w:snapToGrid w:val="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防控与内审、关务筹划与合规管理；同时为上海海关学院海关税收研究</w:t>
      </w:r>
    </w:p>
    <w:p>
      <w:pPr>
        <w:widowControl/>
        <w:adjustRightInd w:val="0"/>
        <w:snapToGrid w:val="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中心和报关研究中心专家组成员，中国海关学会会员。</w:t>
      </w:r>
    </w:p>
    <w:p>
      <w:pPr>
        <w:widowControl/>
        <w:adjustRightInd w:val="0"/>
        <w:snapToGrid w:val="0"/>
        <w:ind w:firstLine="420" w:firstLineChars="20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社会兼职：德国商会、法国商会海关事务高级培训师，关务顾问，上海企业培训网签约高级培训师；</w:t>
      </w:r>
      <w:r>
        <w:rPr>
          <w:rFonts w:hint="eastAsia" w:ascii="微软雅黑" w:hAnsi="微软雅黑" w:eastAsia="微软雅黑" w:cs="宋体"/>
          <w:color w:val="000000"/>
          <w:kern w:val="0"/>
          <w:szCs w:val="21"/>
        </w:rPr>
        <w:br w:type="textWrapping"/>
      </w:r>
      <w:r>
        <w:rPr>
          <w:rFonts w:hint="eastAsia" w:ascii="微软雅黑" w:hAnsi="微软雅黑" w:eastAsia="微软雅黑" w:cs="宋体"/>
          <w:color w:val="000000"/>
          <w:kern w:val="0"/>
          <w:szCs w:val="21"/>
        </w:rPr>
        <w:t>同时利用自己的专业知识与实践经验为多家世界500强企业及国外商会提供进出口货物通关事务的培训与贸易合规咨询工作。</w:t>
      </w:r>
    </w:p>
    <w:p>
      <w:pPr>
        <w:widowControl/>
        <w:adjustRightInd w:val="0"/>
        <w:snapToGrid w:val="0"/>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pPr>
        <w:widowControl/>
        <w:adjustRightInd w:val="0"/>
        <w:snapToGrid w:val="0"/>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主要服务过的客户：</w:t>
      </w:r>
    </w:p>
    <w:p>
      <w:pPr>
        <w:widowControl/>
        <w:adjustRightInd w:val="0"/>
        <w:snapToGrid w:val="0"/>
        <w:ind w:firstLine="420" w:firstLineChars="200"/>
        <w:rPr>
          <w:rFonts w:ascii="微软雅黑" w:hAnsi="微软雅黑" w:eastAsia="微软雅黑" w:cs="宋体"/>
          <w:b/>
          <w:bCs/>
          <w:color w:val="000000"/>
          <w:kern w:val="0"/>
          <w:szCs w:val="21"/>
        </w:rPr>
      </w:pPr>
      <w:r>
        <w:rPr>
          <w:rFonts w:hint="eastAsia" w:ascii="微软雅黑" w:hAnsi="微软雅黑" w:eastAsia="微软雅黑" w:cs="宋体"/>
          <w:color w:val="000000"/>
          <w:kern w:val="0"/>
          <w:szCs w:val="21"/>
        </w:rPr>
        <w:t>法国驻上海总领事馆商务处、博世（中国）投资有限公司、金佰利（中国）有限公司、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pPr>
        <w:widowControl/>
        <w:adjustRightInd w:val="0"/>
        <w:snapToGrid w:val="0"/>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539"/>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0FAA"/>
    <w:rsid w:val="001A258B"/>
    <w:rsid w:val="001A48C5"/>
    <w:rsid w:val="001B0171"/>
    <w:rsid w:val="001B0C54"/>
    <w:rsid w:val="001B1A66"/>
    <w:rsid w:val="001C0A06"/>
    <w:rsid w:val="001C0AEC"/>
    <w:rsid w:val="001C237B"/>
    <w:rsid w:val="001C6765"/>
    <w:rsid w:val="001C6C15"/>
    <w:rsid w:val="001C6F84"/>
    <w:rsid w:val="001D101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4CDE"/>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59A"/>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87CB2"/>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398F"/>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52F51"/>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189"/>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0FD7"/>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A17"/>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0C6"/>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376F"/>
    <w:rsid w:val="00B357C6"/>
    <w:rsid w:val="00B4052F"/>
    <w:rsid w:val="00B414C7"/>
    <w:rsid w:val="00B43871"/>
    <w:rsid w:val="00B4421E"/>
    <w:rsid w:val="00B450CE"/>
    <w:rsid w:val="00B45881"/>
    <w:rsid w:val="00B516FB"/>
    <w:rsid w:val="00B53EF1"/>
    <w:rsid w:val="00B5732E"/>
    <w:rsid w:val="00B57AF5"/>
    <w:rsid w:val="00B60953"/>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BF74D8"/>
    <w:rsid w:val="00C025B5"/>
    <w:rsid w:val="00C11BD6"/>
    <w:rsid w:val="00C13815"/>
    <w:rsid w:val="00C14843"/>
    <w:rsid w:val="00C157C2"/>
    <w:rsid w:val="00C15B4C"/>
    <w:rsid w:val="00C2118B"/>
    <w:rsid w:val="00C26684"/>
    <w:rsid w:val="00C27D52"/>
    <w:rsid w:val="00C36D0F"/>
    <w:rsid w:val="00C40355"/>
    <w:rsid w:val="00C4067F"/>
    <w:rsid w:val="00C45A06"/>
    <w:rsid w:val="00C46215"/>
    <w:rsid w:val="00C46869"/>
    <w:rsid w:val="00C46BC9"/>
    <w:rsid w:val="00C548AE"/>
    <w:rsid w:val="00C56018"/>
    <w:rsid w:val="00C60988"/>
    <w:rsid w:val="00C610AB"/>
    <w:rsid w:val="00C66DD4"/>
    <w:rsid w:val="00C67C5E"/>
    <w:rsid w:val="00C724AC"/>
    <w:rsid w:val="00C77964"/>
    <w:rsid w:val="00C86C83"/>
    <w:rsid w:val="00C8784D"/>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5B4D"/>
    <w:rsid w:val="00DF69A3"/>
    <w:rsid w:val="00DF77B3"/>
    <w:rsid w:val="00E00127"/>
    <w:rsid w:val="00E00D25"/>
    <w:rsid w:val="00E016BB"/>
    <w:rsid w:val="00E02C5F"/>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4863"/>
    <w:rsid w:val="00ED753A"/>
    <w:rsid w:val="00EE25C8"/>
    <w:rsid w:val="00EE2DBF"/>
    <w:rsid w:val="00EE4D0A"/>
    <w:rsid w:val="00EE5202"/>
    <w:rsid w:val="00EE5EE0"/>
    <w:rsid w:val="00EF3504"/>
    <w:rsid w:val="00EF3646"/>
    <w:rsid w:val="00EF560E"/>
    <w:rsid w:val="00EF6EA6"/>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19333DAC"/>
    <w:rsid w:val="1B1C0BA5"/>
    <w:rsid w:val="22260049"/>
    <w:rsid w:val="54A6449A"/>
    <w:rsid w:val="788549BC"/>
    <w:rsid w:val="78863CE7"/>
    <w:rsid w:val="7B60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D3CC5-F2A1-4394-AF78-6189FCC12F61}">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440</Words>
  <Characters>2512</Characters>
  <Lines>20</Lines>
  <Paragraphs>5</Paragraphs>
  <TotalTime>420</TotalTime>
  <ScaleCrop>false</ScaleCrop>
  <LinksUpToDate>false</LinksUpToDate>
  <CharactersWithSpaces>2947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2018-12-17T03:37:45Z</dcterms:modified>
  <dc:title>帕迪课程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