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b/>
          <w:bCs/>
          <w:color w:val="000000" w:themeColor="text1"/>
          <w:szCs w:val="36"/>
          <w14:textFill>
            <w14:solidFill>
              <w14:schemeClr w14:val="tx1"/>
            </w14:solidFill>
          </w14:textFill>
        </w:rPr>
      </w:pPr>
    </w:p>
    <w:p>
      <w:pPr>
        <w:spacing w:line="360" w:lineRule="auto"/>
        <w:ind w:firstLine="160" w:firstLineChars="50"/>
        <w:jc w:val="center"/>
        <w:rPr>
          <w:rFonts w:ascii="微软雅黑" w:hAnsi="微软雅黑" w:eastAsia="微软雅黑"/>
          <w:b/>
          <w:bCs/>
          <w:color w:val="FF0000"/>
          <w:sz w:val="22"/>
          <w:szCs w:val="22"/>
        </w:rPr>
      </w:pPr>
      <w:r>
        <w:rPr>
          <w:rFonts w:hint="eastAsia" w:ascii="微软雅黑" w:hAnsi="微软雅黑" w:eastAsia="微软雅黑"/>
          <w:b/>
          <w:bCs/>
          <w:color w:val="FF0000"/>
          <w:sz w:val="32"/>
          <w:szCs w:val="32"/>
        </w:rPr>
        <w:t>CPSM采购与供应管理培训与认证</w:t>
      </w:r>
    </w:p>
    <w:p>
      <w:pPr>
        <w:spacing w:line="360" w:lineRule="auto"/>
        <w:ind w:firstLine="110" w:firstLineChars="50"/>
        <w:jc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color w:val="FF0000"/>
          <w:sz w:val="22"/>
          <w:szCs w:val="22"/>
        </w:rPr>
        <w:t>（本课程属于《CPSM供应管理专业人士认证》三个模块的培训内容）</w:t>
      </w:r>
      <w:r>
        <w:rPr>
          <w:rFonts w:hint="eastAsia" w:ascii="微软雅黑" w:hAnsi="微软雅黑" w:eastAsia="微软雅黑"/>
          <w:color w:val="000000" w:themeColor="text1"/>
          <w:szCs w:val="21"/>
          <w14:textFill>
            <w14:solidFill>
              <w14:schemeClr w14:val="tx1"/>
            </w14:solidFill>
          </w14:textFill>
        </w:rPr>
        <w:t xml:space="preserve"> </w:t>
      </w:r>
    </w:p>
    <w:p>
      <w:pPr>
        <w:adjustRightInd w:val="0"/>
        <w:snapToGrid w:val="0"/>
        <w:rPr>
          <w:rFonts w:hint="eastAsia" w:ascii="微软雅黑" w:hAnsi="微软雅黑" w:eastAsia="微软雅黑"/>
          <w:szCs w:val="21"/>
          <w:lang w:val="en-US" w:eastAsia="zh-CN"/>
        </w:rPr>
      </w:pPr>
      <w:r>
        <w:rPr>
          <w:rFonts w:hint="eastAsia" w:ascii="微软雅黑" w:hAnsi="微软雅黑" w:eastAsia="微软雅黑"/>
          <w:b/>
          <w:color w:val="000000" w:themeColor="text1"/>
          <w14:textFill>
            <w14:solidFill>
              <w14:schemeClr w14:val="tx1"/>
            </w14:solidFill>
          </w14:textFill>
        </w:rPr>
        <w:t>【报名热线】</w:t>
      </w:r>
      <w:r>
        <w:rPr>
          <w:rFonts w:hint="eastAsia" w:ascii="微软雅黑" w:hAnsi="微软雅黑" w:eastAsia="微软雅黑"/>
          <w:b/>
          <w:color w:val="000000" w:themeColor="text1"/>
          <w:lang w:val="en-US" w:eastAsia="zh-CN"/>
          <w14:textFill>
            <w14:solidFill>
              <w14:schemeClr w14:val="tx1"/>
            </w14:solidFill>
          </w14:textFill>
        </w:rPr>
        <w:t>400-086-8596</w:t>
      </w:r>
    </w:p>
    <w:p>
      <w:pPr>
        <w:adjustRightInd w:val="0"/>
        <w:snapToGrid w:val="0"/>
        <w:ind w:left="1260" w:hanging="1260" w:hangingChars="600"/>
        <w:rPr>
          <w:rFonts w:ascii="微软雅黑" w:hAnsi="微软雅黑" w:eastAsia="微软雅黑"/>
        </w:rPr>
      </w:pPr>
      <w:bookmarkStart w:id="0" w:name="_GoBack"/>
      <w:bookmarkEnd w:id="0"/>
      <w:r>
        <w:rPr>
          <w:rFonts w:hint="eastAsia" w:ascii="微软雅黑" w:hAnsi="微软雅黑" w:eastAsia="微软雅黑"/>
          <w:b/>
        </w:rPr>
        <w:t>【培训对象】</w:t>
      </w:r>
      <w:r>
        <w:rPr>
          <w:rFonts w:hint="eastAsia" w:ascii="微软雅黑" w:hAnsi="微软雅黑" w:eastAsia="微软雅黑"/>
        </w:rPr>
        <w:t>1、 获得教育部认可学院或大学（或国际同等学院）的学士学位 ，具备3年（或以上）全职供应管理专业领域的工作经验</w:t>
      </w:r>
    </w:p>
    <w:p>
      <w:pPr>
        <w:adjustRightInd w:val="0"/>
        <w:snapToGrid w:val="0"/>
        <w:ind w:left="1260" w:leftChars="600"/>
        <w:rPr>
          <w:rFonts w:ascii="微软雅黑" w:hAnsi="微软雅黑" w:eastAsia="微软雅黑"/>
        </w:rPr>
      </w:pPr>
      <w:r>
        <w:rPr>
          <w:rFonts w:hint="eastAsia" w:ascii="微软雅黑" w:hAnsi="微软雅黑" w:eastAsia="微软雅黑"/>
        </w:rPr>
        <w:t>2、 非学士学位，具备5年（或以上）全职供应管理专业领域的工作经验</w:t>
      </w:r>
    </w:p>
    <w:p>
      <w:pPr>
        <w:adjustRightInd w:val="0"/>
        <w:snapToGrid w:val="0"/>
        <w:ind w:left="1260" w:leftChars="600"/>
        <w:rPr>
          <w:rFonts w:ascii="微软雅黑" w:hAnsi="微软雅黑" w:eastAsia="微软雅黑"/>
          <w:szCs w:val="21"/>
        </w:rPr>
      </w:pPr>
      <w:r>
        <w:rPr>
          <w:rFonts w:hint="eastAsia" w:ascii="微软雅黑" w:hAnsi="微软雅黑" w:eastAsia="微软雅黑"/>
        </w:rPr>
        <w:t>3、 适合对象：CPSM适用于采购经理/总监、采购工程师、物料控制人员、供应商资源管理者、计划人员和控制人员、运营总监、供应链主管、外包采购和间接采购、库存管理、合同管理经理，其他参与供应链管理者。</w:t>
      </w:r>
    </w:p>
    <w:p>
      <w:pPr>
        <w:adjustRightInd w:val="0"/>
        <w:snapToGrid w:val="0"/>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w:t>
      </w:r>
      <w:r>
        <w:rPr>
          <w:rFonts w:ascii="微软雅黑" w:hAnsi="微软雅黑" w:eastAsia="微软雅黑"/>
          <w:szCs w:val="21"/>
        </w:rPr>
        <w:t>B</w:t>
      </w:r>
      <w:r>
        <w:rPr>
          <w:rFonts w:ascii="微软雅黑" w:hAnsi="微软雅黑" w:eastAsia="微软雅黑"/>
          <w:b/>
          <w:szCs w:val="21"/>
        </w:rPr>
        <w:t>10800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ind w:firstLine="210" w:firstLineChars="100"/>
        <w:rPr>
          <w:color w:val="FF0000"/>
          <w:sz w:val="28"/>
        </w:rPr>
      </w:pPr>
      <w:r>
        <w:rPr>
          <w:rFonts w:hint="eastAsia"/>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7216;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课程背景：</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宋体" w:hAnsi="宋体" w:cs="宋体"/>
          <w:kern w:val="0"/>
          <w:sz w:val="20"/>
          <w:szCs w:val="20"/>
        </w:rPr>
        <w:t xml:space="preserve">  </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全面提升采购与供应管理者的职业能力，深度拓展企业采购与供应管理的价值空间！与优秀的专家同行；与世界500强企业同行；与优秀的采购人同行！良莠不齐的各类认证很多，可是业内标杆只有一个，那就是CPSM！</w:t>
      </w:r>
    </w:p>
    <w:p>
      <w:pPr>
        <w:widowControl/>
        <w:adjustRightInd w:val="0"/>
        <w:snapToGrid w:val="0"/>
        <w:ind w:left="1"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CPSM项目是目前国内采购职业培训领域最规范、最权威的项目，该项目从课程体系、引进模式、运作机构、核心讲师团队、会员持续服务等各方面均处于国内领先地位。具体如下：</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 国际顶级课程：美国供应管理协会（ISM）推出的，有着30 多年采购与供应管理专业课程，体系完整，享誉全球。课程自成体系，围绕着企业采购与供应管理实践和战略管理的需要，为采购与供应管理从业人员提供清晰的战略管理框架和实战技能！ </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国内权威规范化运作：由中国物流与采购联合会采购与供应链管理专业委员会运作实施，统一化管理：坚持统一大纲、统一教材、统一师资、统一考试、考培分离的原则，确保国际认证体系规范化运作！</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针对性选取：课程的引进并不是简单的翻译，不但删除了15％的涉及到美国法律、 政策等制度差异性的知识点，并根据中国的采购环境，包括中国的法律、政策、经济发展状况 和文化背景进行了修改和完善，在培训、考试和认证各环节进行了一些有针对的调整，比较符合中国的实际。历时一年多，完成了课程体系和考试体系的汉化以及师资队伍建设工作，使学 员不出国门即可享受国际顶级课程！</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注重采购战略管理： CPSM强调的是采购管理战略化、流程化，与企业采购实践的结合最紧密。通过学习，学员可以较快掌握先进的管理理念和实战技能，并能够较快地运用到企业工作实践中；学员在学习过程中可以不断对照本企业管理现状进行反思并探求解决方案，对于企业的采购战略水平提升效果十分明显！</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强大的师资队伍：CPSM授权讲师大部分来自跨国公司采购高管，有着丰富的从业经验和授课经验，在国内同行中享有较高声誉！CPSM授权讲师不仅教授学员专业知识，还结合自己的经验与学员进行互动讨论，帮助学员解决采购与供应管理实践中遇到的复杂问题，提升学员的管理水平。</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高价值的会员服务： CFLP会员交流平台，学员将随时了解和掌握采购与供应管理领域的发展动态，获得全球最高水平的行业咨询信息服务。</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中文授课、中英文对照考试：帮助学员最大程度理解CPSM</w:t>
      </w:r>
    </w:p>
    <w:p>
      <w:pPr>
        <w:adjustRightInd w:val="0"/>
        <w:snapToGrid w:val="0"/>
        <w:rPr>
          <w:rFonts w:ascii="微软雅黑" w:hAnsi="微软雅黑" w:eastAsia="微软雅黑"/>
          <w:b/>
          <w:color w:val="FF0000"/>
          <w:sz w:val="24"/>
        </w:r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认证机构：</w:t>
      </w:r>
    </w:p>
    <w:p>
      <w:pPr>
        <w:adjustRightInd w:val="0"/>
        <w:snapToGrid w:val="0"/>
        <w:rPr>
          <w:rFonts w:ascii="微软雅黑" w:hAnsi="微软雅黑" w:eastAsia="微软雅黑"/>
          <w:szCs w:val="21"/>
        </w:rPr>
      </w:pPr>
      <w:r>
        <w:rPr>
          <w:rFonts w:hint="eastAsia" w:ascii="微软雅黑" w:hAnsi="微软雅黑" w:eastAsia="微软雅黑"/>
          <w:b/>
          <w:szCs w:val="21"/>
        </w:rPr>
        <w:t xml:space="preserve">　  </w:t>
      </w:r>
      <w:r>
        <w:rPr>
          <w:rFonts w:hint="eastAsia" w:ascii="微软雅黑" w:hAnsi="微软雅黑" w:eastAsia="微软雅黑"/>
          <w:szCs w:val="21"/>
        </w:rPr>
        <w:t>美国供应管理协会（the Institute for Supply Management, ISM）是全球最大、最权威的采购管理、供应管理、物流管理等领域的专业组织。ISM的使命为"To Lead Supply Management"。为支持伟大的使命，顺应市场变化、商业变革与新技术应用，2007年2月，ISM正式发布关于新的CPSM认证的消息。该认证的目标是要成为全球供应管理专业人士竭力追求的高端认证，并于2008年正式推出。CPSM认证涉及多层次的供应管理角色，包括战略采购，物流管理，供应关系管理，供应来源多元化等，采购与供应专业人士将从该认证中获得很好的收益，该认证强调供应经理新的、扩展的战略角色。它将代表最为严格的供应管理职业认证、代表供应管理最高程度的专业资质并将成为供应管理专业标准。认证考试包括3项测试，涵盖供应管理的各个层面。考试还将反映出当今的供应环境，涉及危机管理，战略采购，社会责任，并对供应人员的素质提出了新的要求。CPSM认证是目前世界采购职业培训领域最规范、最权威的认证。</w:t>
      </w:r>
    </w:p>
    <w:p>
      <w:pPr>
        <w:widowControl/>
        <w:adjustRightInd w:val="0"/>
        <w:snapToGrid w:val="0"/>
        <w:ind w:left="1" w:hanging="1"/>
        <w:rPr>
          <w:rFonts w:ascii="微软雅黑" w:hAnsi="微软雅黑" w:eastAsia="微软雅黑"/>
          <w:szCs w:val="21"/>
        </w:rPr>
      </w:pPr>
      <w:r>
        <w:rPr>
          <w:rFonts w:hint="eastAsia" w:ascii="微软雅黑" w:hAnsi="微软雅黑" w:eastAsia="微软雅黑"/>
          <w:szCs w:val="21"/>
        </w:rPr>
        <w:t>中国物流与采购联合会，是经国务院批准设立的中国第一物流与采购行业社团组织，总部设在北京，联合会的主要任务是推动中国物流业的发展，完成政府委托交办事项，政府授予联合会外事、科技、行业统计和标准制修订等项职能。 中国物流与采购联合会是亚太物流联盟和国际采购联盟的中国代表 ( 理事单位 ), 并与许多国家的同行有着广泛的联系和合作。</w:t>
      </w:r>
    </w:p>
    <w:p>
      <w:pPr>
        <w:adjustRightInd w:val="0"/>
        <w:snapToGrid w:val="0"/>
        <w:rPr>
          <w:rFonts w:ascii="微软雅黑" w:hAnsi="微软雅黑" w:eastAsia="微软雅黑"/>
          <w:szCs w:val="21"/>
        </w:r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课程收益：</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CPSM对个人的益处：</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CPSM职业资格认证可以使供应专业人士清晰理解所在组织中的供应管理运作，让经理人能够在关键的决策中起到积极的作用。供应管理贯穿于每个组织产品生产和服务提供的每一个环节。当今专业发展趋势表明，整个组织的供应管理创新战略的高效执行需要专业人士具备战略高度的水平和资质。CPSM认证资质将是那些掌握自己职业生涯专业人士的一个里程碑。调查表明获得认证资质者比未获得认证资质者拥有更高的年薪报酬。努力获得CPSM认证资质将是您在职业化发展过程中提升知识和经验一大机会。</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CPSM对公司的益处：</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很多单位组织都曾向ISM表明它们很认同CPSM，CPSM证书用来衡量采购专业知识基准的价值。而CPSM认证同样会看作是具备更为广泛供应管理资质的专业人士新标准。CPSM将强调供应管理专业方向的主要内容，获得CPSM认证资质者将对其自身供应管理网络有更好的理解，同时具备做出更加准确有利决策的技能和水平。</w:t>
      </w: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报名资格：</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1、 获得教育部认可学院或大学（或国际同等学院）的学士学位 ，具备3年（或以上）全职供应管理专业领域的工作经验</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2、 非学士学位，具备5年（或以上）全职供应管理专业领域的工作经验</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3、 适合对象：CPSM适用于采购经理/总监、采购工程师、物料控制人员、供应商资源管理者、计划人员和控制人员、运营总监、供应链主管、外包采购和间接采购、库存管理、合同管理经理，其他参与供应链管理者。</w:t>
      </w:r>
    </w:p>
    <w:p>
      <w:pPr>
        <w:widowControl/>
        <w:adjustRightInd w:val="0"/>
        <w:snapToGrid w:val="0"/>
        <w:ind w:firstLine="400" w:firstLineChars="200"/>
        <w:jc w:val="left"/>
        <w:rPr>
          <w:rFonts w:ascii="微软雅黑" w:hAnsi="微软雅黑" w:eastAsia="微软雅黑" w:cs="宋体"/>
          <w:kern w:val="0"/>
          <w:sz w:val="20"/>
          <w:szCs w:val="20"/>
        </w:r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考培形式：</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 培训师全部来自采购委核心专家组成员，通过授权的专业讲师，具有非常丰富的实战经验；</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 采取多媒体演示，互动学习，讨论案例分析和问题解答；</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 洞悉ISM的原则、理念和方针；了解CPSM考试难点、重点和考生的弱点；</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 结合案例互动交流，分组讨论,加强学员的沟通与经验，扩展人脉；</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 通过富有代表性的问题和案例，贯串ISM的采购管理基本理念、原则和思想，澄清学员在答题思路和理解问题上的微妙偏差；</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 富有CPSM认证组织经验，通过完善的课程组织和学习督促机制，确保学员通过认证。</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 CPSM 考试分为供应管理基础、高效的供应管理、供应管理的领导力3个模块。学生可以根据学习情况选择所要报考的模块。</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 考试采取计算机在线考试的方式进行，考试语言为简体中文（试卷中的专业术语以中英对照形式出现）。考试结束之后,成绩由系统即时显示。</w:t>
      </w:r>
    </w:p>
    <w:p>
      <w:pPr>
        <w:widowControl/>
        <w:adjustRightInd w:val="0"/>
        <w:snapToGrid w:val="0"/>
        <w:ind w:firstLine="420" w:firstLineChars="200"/>
        <w:jc w:val="left"/>
        <w:rPr>
          <w:rFonts w:ascii="微软雅黑" w:hAnsi="微软雅黑" w:eastAsia="微软雅黑" w:cs="宋体"/>
          <w:kern w:val="0"/>
          <w:szCs w:val="21"/>
        </w:rPr>
      </w:pPr>
      <w:r>
        <w:rPr>
          <w:rFonts w:hint="eastAsia" w:ascii="微软雅黑" w:hAnsi="微软雅黑" w:eastAsia="微软雅黑" w:cs="宋体"/>
          <w:kern w:val="0"/>
          <w:szCs w:val="21"/>
        </w:rPr>
        <w:t>◆ 如果考试未通过，可以免费重听本模块课程，直到考试通过。如果某个模块没有通过，可以继续补考，但是每次补考必须重新支付补考费用。</w:t>
      </w:r>
    </w:p>
    <w:p>
      <w:pPr>
        <w:widowControl/>
        <w:adjustRightInd w:val="0"/>
        <w:snapToGrid w:val="0"/>
        <w:ind w:firstLine="420" w:firstLineChars="200"/>
        <w:jc w:val="left"/>
        <w:rPr>
          <w:rFonts w:ascii="微软雅黑" w:hAnsi="微软雅黑" w:eastAsia="微软雅黑" w:cs="宋体"/>
          <w:kern w:val="0"/>
          <w:sz w:val="20"/>
          <w:szCs w:val="20"/>
        </w:rPr>
      </w:pPr>
      <w:r>
        <w:rPr>
          <w:rFonts w:hint="eastAsia" w:ascii="微软雅黑" w:hAnsi="微软雅黑" w:eastAsia="微软雅黑" w:cs="宋体"/>
          <w:kern w:val="0"/>
          <w:szCs w:val="21"/>
        </w:rPr>
        <w:t>◆ CPSM 单科考试成绩全球互相承认，3年有效期。参加CPSM 全球考试单科通过者，可以凭成绩单免考相应模块的CPSM单科考试。</w:t>
      </w:r>
    </w:p>
    <w:p>
      <w:pPr>
        <w:widowControl/>
        <w:adjustRightInd w:val="0"/>
        <w:snapToGrid w:val="0"/>
        <w:ind w:firstLine="400" w:firstLineChars="200"/>
        <w:jc w:val="left"/>
        <w:rPr>
          <w:rFonts w:ascii="微软雅黑" w:hAnsi="微软雅黑" w:eastAsia="微软雅黑" w:cs="宋体"/>
          <w:kern w:val="0"/>
          <w:sz w:val="20"/>
          <w:szCs w:val="20"/>
        </w:r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培训教材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CPSM全套教材共13本，详细如下：</w:t>
      </w:r>
    </w:p>
    <w:p>
      <w:pPr>
        <w:widowControl/>
        <w:adjustRightInd w:val="0"/>
        <w:snapToGrid w:val="0"/>
        <w:jc w:val="left"/>
        <w:rPr>
          <w:rFonts w:ascii="微软雅黑" w:hAnsi="微软雅黑" w:eastAsia="微软雅黑" w:cs="宋体"/>
          <w:kern w:val="0"/>
          <w:szCs w:val="21"/>
        </w:rPr>
      </w:pPr>
      <w:r>
        <w:rPr>
          <w:rFonts w:ascii="微软雅黑" w:hAnsi="微软雅黑" w:eastAsia="微软雅黑" w:cs="宋体"/>
          <w:kern w:val="0"/>
          <w:szCs w:val="21"/>
        </w:rPr>
        <w:t>The Foundation of Supply Management - Book 1 of the ISM Professional Series</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《供应管理基础》教材中英文各1本；《学习指南1》中英文各1本，共4本</w:t>
      </w:r>
    </w:p>
    <w:p>
      <w:pPr>
        <w:widowControl/>
        <w:adjustRightInd w:val="0"/>
        <w:snapToGrid w:val="0"/>
        <w:jc w:val="left"/>
        <w:rPr>
          <w:rFonts w:ascii="微软雅黑" w:hAnsi="微软雅黑" w:eastAsia="微软雅黑" w:cs="宋体"/>
          <w:kern w:val="0"/>
          <w:szCs w:val="21"/>
        </w:rPr>
      </w:pPr>
      <w:r>
        <w:rPr>
          <w:rFonts w:ascii="微软雅黑" w:hAnsi="微软雅黑" w:eastAsia="微软雅黑" w:cs="宋体"/>
          <w:kern w:val="0"/>
          <w:szCs w:val="21"/>
        </w:rPr>
        <w:t>Effective Supply Management Performance - Book 2 of the ISM Professional Series</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《有效地供应链管理执行力》教材中英文各1本；《学习指南2》中英文各1本，共4本</w:t>
      </w:r>
    </w:p>
    <w:p>
      <w:pPr>
        <w:widowControl/>
        <w:adjustRightInd w:val="0"/>
        <w:snapToGrid w:val="0"/>
        <w:jc w:val="left"/>
        <w:rPr>
          <w:rFonts w:ascii="微软雅黑" w:hAnsi="微软雅黑" w:eastAsia="微软雅黑" w:cs="宋体"/>
          <w:kern w:val="0"/>
          <w:szCs w:val="21"/>
        </w:rPr>
      </w:pPr>
      <w:r>
        <w:rPr>
          <w:rFonts w:ascii="微软雅黑" w:hAnsi="微软雅黑" w:eastAsia="微软雅黑" w:cs="宋体"/>
          <w:kern w:val="0"/>
          <w:szCs w:val="21"/>
        </w:rPr>
        <w:t>Leadership in Supply Management - Book 3 of the ISM Professional Series</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《供应管理领导力》教材中英文各1本；《学习指南3》中英文各1本，共4本</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CPSM模拟试题全英文1本</w:t>
      </w:r>
    </w:p>
    <w:p>
      <w:pPr>
        <w:widowControl/>
        <w:adjustRightInd w:val="0"/>
        <w:snapToGrid w:val="0"/>
        <w:ind w:left="1" w:hanging="1"/>
        <w:rPr>
          <w:rFonts w:ascii="微软雅黑" w:hAnsi="微软雅黑" w:eastAsia="微软雅黑"/>
          <w:b/>
          <w:color w:val="00B0F0"/>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color w:val="FF0000"/>
          <w:sz w:val="24"/>
        </w:r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课程大纲：</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模块一：供应管理基础（培训时长3天）</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合同和谈判</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1 -A- 1 准备竞争性投标、报价和建议书，以及相关的规范、条款和条件</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1 -A- 2 准备和制定谈判战略、战术，包括团队成员角色的责任界定</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1 -A- 3 领导/进行/协助与供应商间的谈判，以取得理想成果</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1 -A- 4 管理筹备和/或发布合同/采购订单/协议</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1 -A- 5 管理合同/采购订单，从下单/签合同到完成或终止</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成本和财务</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B – 1 筹备和/或管理供应管理部门预算</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B – 2 开发采购成本管理计划战略</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B – 3 通过开支分析，确定节支潜力和机会，以及针对具体采购类制定战略</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B – 4 执行成本/采购效益分析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B – 5 开发融资并利用采购战略</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国际化</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C – 1 确定并评估国际市场的商品和服务采购</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C – 2 制定物料和服务的国际采购</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C – 3 制定和维护跨境交易文件</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社会责任</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D – 1 为供应管理部门和供应商制定商业行为准则，并身体力行</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D – 2 在整个供应链和产品的生命周期内，建立并监测环保方案</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D – 3 实施、监督和推广组织和供应链的安全政策、程序</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寻源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E - 1 分析潜在商品/或服务的来源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E – 2 评估多家有竞争力的供应商，以确定获得最佳的产品/服务</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E – 3 基于预测数据，制定寻源和供应战略，并沟通给相关部门</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供应商关系管理</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F – 1 确定供应商优化的机会和收益</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F - 1 开发/管理与供应商的高效关系</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F - 1 开发/实施供应商多样化方案</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F - 4 开发新的供应商认证计划并确保元件、材料和供应商符合规定的要求（法规、安全性、可靠性、质量）</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F - 5 进行供应商业绩评估</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1 - F - 6 制定和执行供应商的淘汰战略</w:t>
      </w:r>
    </w:p>
    <w:p>
      <w:pPr>
        <w:widowControl/>
        <w:adjustRightInd w:val="0"/>
        <w:snapToGrid w:val="0"/>
        <w:jc w:val="left"/>
        <w:rPr>
          <w:rFonts w:ascii="微软雅黑" w:hAnsi="微软雅黑" w:eastAsia="微软雅黑" w:cs="宋体"/>
          <w:kern w:val="0"/>
          <w:szCs w:val="21"/>
        </w:rPr>
      </w:pP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模块二：高绩效的供给管理（培训时长3天）</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预测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–A - 1 分析当前、未来的国际/国内市场条件、行业最佳水平（benchmarks）以及行业发展趋势，提供数据给管理层和使用部门</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A - 2 基于经济、竞争力、技术、市场和汇率趋势等影响采购的因素，制定供应预测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A - 3 跟供应商一起管理预测数据</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物流</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B – 1 设计/修改物流设施的布局和设备设计，用以支持商业模式，提高生产力并降低运营成本</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B - 2 指导运输/分销政策和流程，确保材料流动通畅和货物运输的最佳整合</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B - 3 管理国际运输、收据和文件，以确保所有政府进口、出口、危险材料和空运管制条例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B – 4 解决交付/接收中出现的问题，包括货物丢失和损坏的索赔</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材料和库存管理</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C - 1 开发/实施材料和/或服务的标准化方案</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C - 2 开发/实施仓库和库存管理系统</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C - 3 协调和/或监察组织内的设备和资产的流动</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C – 4 对于过剩品和成品，制定、监督和执行多渠道处置方案</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组织/部门评估</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D – 1监督对业务计划的执行工作情况，并采取行动来解决差异和或对计划做适当调整</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D – 2 制定业绩评估标准并考核供应管理人员的业绩</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D – 3 开发工具和流程，以统计、汇报和改善对供应管理政策的合规</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D – 4 分析并解决供应管理审计中出现的问题</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计划</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E -1实施或利用需求计划（如ERP，MRP，MRP II，DRP，DRP II，WMS），来协调供应管理和公司业务运作，以支持组织战略</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E - 2 制定、实施、维护并监控预测、业务计划，调度和库存控制功能，以确保产能和资源的最佳利用</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产品与服务开发</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F – 1 参与产品/服务开发或改变规范/要求，来支持公司的销售和营销活动，以满足客户需求</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F – 2 管理新产品/服务初始阶段的热身战略，实施规模化生产</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项目管理</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G – 1 代表供应管理组织，进行项目管理活动</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G – 2 根据公司目标，在供应链管理领域实施持续提高流程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质量</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H - 1 开发/管理供应商的认证程序</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H - 2 针对质量的持续改进和目标设定，制定统计方法</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 H - 3 开发、统计和评价质量要求，不断提高供应商的绩效</w:t>
      </w:r>
    </w:p>
    <w:p>
      <w:pPr>
        <w:widowControl/>
        <w:adjustRightInd w:val="0"/>
        <w:snapToGrid w:val="0"/>
        <w:jc w:val="left"/>
        <w:rPr>
          <w:rFonts w:ascii="微软雅黑" w:hAnsi="微软雅黑" w:eastAsia="微软雅黑" w:cs="宋体"/>
          <w:kern w:val="0"/>
          <w:szCs w:val="21"/>
        </w:rPr>
      </w:pP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模块三：供应管理领导力（培训时长3天）</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领导力</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1代表供应管理部门，参与组织范围或具体项目的目标设定、预算、人员编制和政策的决策</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2 制定并实施业务计划以满足客户服务、企业利润和股本回报目标</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3 根据市场情况、业务需求和现有资源，制定、执行和监控供应管理战略计划和运作计划</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- 4 计划/开发/提供运营政策、纲要和程序。为达到最佳的结构的需要做必要修改</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- 5 如有需要，对组织的供应管理政策做出变化</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- 6 参与公司的收购、兼并、资产剥离，确保供应的连续性，并捕捉协同过程中带来机会</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7 代表供应组织去会晤企业、政府机构、专业协会和其他组织</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8 领导或参与跨职能和/或多功能组（如项目管理、流程改善、国际团队）</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- 9 传播信息，推广与供应管理政策和程序相关的培训</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–10 向管理层、内部用户推销战略寻源的价值、寻源战略和措施</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–11 评估供应管理的组织结构，如有需要，适当调整以以达到最佳的结构</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12 雇佣、发展、挽留晋升和/或解雇供应管理人员</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- 13 监督、领导人力资源以实现倡议</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–14 培训在职的工作人员，或授权他们参加工作培训</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- 15 发展/管理/评估/统计与内部别的部门的关系</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- 16 制定/使用为评估供应管理部门绩效制定的标准</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- 17 进行角色设计评估以及潜在岗位重新设计的要求</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A - 18 创建并管理一个人员继承计划，合理分配工作任务，为员工提供职业发展和成长机会</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风险与合规</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3 -B- 1 根据现有的合同、有关法律、法规和组织政策，制定、实施和管理风险战略</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3 -B - 2 制定和实施风险管理和/或索赔管理程序（例如侵犯版权、专利侵权、骚扰）</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–B - 3 根据法律要求，实施供应管理流程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B - 4 对相关信息，开发/实施/维护数据库/备案系统</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–B - 5 验证有关第三方的财务交易和承诺确实存在、准确、完整</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B – 6 对市场上产品生命周期终止的问题进行风险评估，并对产品的所有部件建立适当的风险规避计划</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B - 7 对危险/管制物资，做好储存、处置工作，并做好相应的文档</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B - 8 遵守程序，防止歧视、骚扰；如有发生，做出合适应对</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战略寻源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C - 1 在与组织目标和采购策略保持一致性的前提下，建立和执行战略寻源计划</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C - 2 建立并规范化战略寻源程序以及改进业务流程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C –3 确立、评估、选择和实施相关技术，支持在整个组织内部的供应管理职能</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C - 4 分析、制定和执行战略，确定优先级别，充分利用（针对供应商-译者注）采购开支上的优势</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3 - C –5 通过分析来确定内包和外包战略</w:t>
      </w:r>
    </w:p>
    <w:p>
      <w:pPr>
        <w:adjustRightInd w:val="0"/>
        <w:snapToGrid w:val="0"/>
        <w:rPr>
          <w:rFonts w:ascii="微软雅黑" w:hAnsi="微软雅黑" w:eastAsia="微软雅黑"/>
          <w:b/>
          <w:color w:val="FF0000"/>
          <w:szCs w:val="21"/>
        </w:rPr>
      </w:pPr>
      <w:r>
        <w:rPr>
          <w:rFonts w:hint="eastAsia" w:ascii="微软雅黑" w:hAnsi="微软雅黑" w:eastAsia="微软雅黑" w:cs="宋体"/>
          <w:kern w:val="0"/>
          <w:szCs w:val="21"/>
        </w:rPr>
        <w:t>3 - C - 6 创建新的系统和流程改进，帮助组织实现销售目标</w:t>
      </w:r>
    </w:p>
    <w:p>
      <w:pPr>
        <w:adjustRightInd w:val="0"/>
        <w:snapToGrid w:val="0"/>
        <w:rPr>
          <w:rFonts w:ascii="微软雅黑" w:hAnsi="微软雅黑" w:eastAsia="微软雅黑"/>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讲师介绍：</w:t>
      </w:r>
    </w:p>
    <w:p>
      <w:pPr>
        <w:widowControl/>
        <w:adjustRightInd w:val="0"/>
        <w:snapToGrid w:val="0"/>
        <w:jc w:val="left"/>
        <w:rPr>
          <w:rFonts w:ascii="微软雅黑" w:hAnsi="微软雅黑" w:eastAsia="微软雅黑" w:cs="宋体"/>
          <w:kern w:val="0"/>
          <w:szCs w:val="21"/>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b/>
          <w:szCs w:val="21"/>
        </w:rPr>
        <w:t>CPSM</w:t>
      </w:r>
      <w:r>
        <w:rPr>
          <w:rFonts w:ascii="微软雅黑" w:hAnsi="微软雅黑" w:eastAsia="微软雅黑"/>
          <w:b/>
          <w:szCs w:val="21"/>
        </w:rPr>
        <w:t xml:space="preserve">  </w:t>
      </w:r>
      <w:r>
        <w:rPr>
          <w:rFonts w:hint="eastAsia" w:ascii="微软雅黑" w:hAnsi="微软雅黑" w:eastAsia="微软雅黑"/>
          <w:b/>
          <w:szCs w:val="21"/>
        </w:rPr>
        <w:t>授权讲师</w:t>
      </w:r>
    </w:p>
    <w:p>
      <w:pPr>
        <w:widowControl/>
        <w:adjustRightInd w:val="0"/>
        <w:snapToGrid w:val="0"/>
        <w:jc w:val="left"/>
        <w:rPr>
          <w:rFonts w:ascii="微软雅黑" w:hAnsi="微软雅黑" w:eastAsia="微软雅黑" w:cs="宋体"/>
          <w:kern w:val="0"/>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adjustRightInd w:val="0"/>
        <w:snapToGrid w:val="0"/>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tabs>
          <w:tab w:val="left" w:pos="668"/>
        </w:tabs>
        <w:adjustRightInd w:val="0"/>
        <w:snapToGrid w:val="0"/>
        <w:ind w:left="108"/>
        <w:jc w:val="center"/>
        <w:rPr>
          <w:rFonts w:eastAsia="微软雅黑"/>
          <w:b/>
          <w:color w:val="FF0000"/>
          <w:sz w:val="36"/>
        </w:rPr>
      </w:pPr>
      <w:r>
        <w:rPr>
          <w:rFonts w:eastAsia="微软雅黑"/>
          <w:b/>
          <w:color w:val="FF0000"/>
          <w:sz w:val="36"/>
        </w:rPr>
        <w:t>报 名 回 执</w:t>
      </w:r>
    </w:p>
    <w:p>
      <w:pPr>
        <w:widowControl/>
        <w:tabs>
          <w:tab w:val="left" w:pos="668"/>
        </w:tabs>
        <w:ind w:left="108"/>
        <w:jc w:val="center"/>
        <w:rPr>
          <w:rFonts w:eastAsia="微软雅黑"/>
          <w:sz w:val="44"/>
        </w:rPr>
      </w:pPr>
    </w:p>
    <w:tbl>
      <w:tblPr>
        <w:tblStyle w:val="14"/>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09"/>
        <w:gridCol w:w="1354"/>
        <w:gridCol w:w="2186"/>
        <w:gridCol w:w="1333"/>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pPr>
              <w:tabs>
                <w:tab w:val="left" w:pos="1080"/>
              </w:tabs>
              <w:spacing w:line="340" w:lineRule="exact"/>
              <w:jc w:val="center"/>
              <w:rPr>
                <w:rFonts w:eastAsia="微软雅黑"/>
                <w:b/>
                <w:kern w:val="10"/>
                <w:sz w:val="24"/>
              </w:rPr>
            </w:pPr>
          </w:p>
        </w:tc>
        <w:tc>
          <w:tcPr>
            <w:tcW w:w="1333"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795"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3457"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186"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128"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exact"/>
          <w:jc w:val="center"/>
        </w:trPr>
        <w:tc>
          <w:tcPr>
            <w:tcW w:w="5643"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开户银行：农业银行上海市复旦支行</w:t>
            </w:r>
          </w:p>
        </w:tc>
        <w:tc>
          <w:tcPr>
            <w:tcW w:w="4128"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现场缴费</w:t>
            </w:r>
            <w:r>
              <w:rPr>
                <w:rFonts w:hint="eastAsia" w:eastAsia="微软雅黑"/>
                <w:b/>
                <w:szCs w:val="21"/>
              </w:rPr>
              <w:t>（现金，微信，支付宝）</w:t>
            </w:r>
            <w:r>
              <w:rPr>
                <w:rFonts w:hint="eastAsia" w:eastAsia="微软雅黑"/>
                <w:b/>
                <w:sz w:val="24"/>
              </w:rPr>
              <w:t xml:space="preserve">   </w:t>
            </w:r>
            <w:r>
              <w:rPr>
                <w:rFonts w:eastAsia="微软雅黑"/>
                <w:b/>
                <w:sz w:val="24"/>
              </w:rPr>
              <w:t xml:space="preserve">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公司转账</w:t>
            </w:r>
            <w:r>
              <w:rPr>
                <w:rFonts w:hint="eastAsia" w:eastAsia="微软雅黑"/>
                <w:b/>
                <w:sz w:val="24"/>
              </w:rPr>
              <w:t xml:space="preserve">     </w:t>
            </w:r>
          </w:p>
          <w:p>
            <w:pPr>
              <w:shd w:val="solid" w:color="FFFFFF" w:fill="auto"/>
              <w:autoSpaceDN w:val="0"/>
              <w:spacing w:line="360" w:lineRule="exact"/>
              <w:textAlignment w:val="baseline"/>
              <w:rPr>
                <w:rFonts w:eastAsia="微软雅黑"/>
                <w:szCs w:val="21"/>
              </w:rPr>
            </w:pPr>
          </w:p>
        </w:tc>
      </w:tr>
    </w:tbl>
    <w:p>
      <w:pPr>
        <w:widowControl/>
        <w:tabs>
          <w:tab w:val="left" w:pos="475"/>
        </w:tabs>
        <w:adjustRightInd w:val="0"/>
        <w:snapToGrid w:val="0"/>
        <w:ind w:left="108"/>
        <w:jc w:val="left"/>
        <w:rPr>
          <w:rFonts w:ascii="微软雅黑" w:hAnsi="微软雅黑" w:eastAsia="微软雅黑" w:cs="宋体"/>
          <w:kern w:val="0"/>
          <w:sz w:val="20"/>
          <w:szCs w:val="20"/>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7"/>
      <w:jc w:val="center"/>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微软雅黑" w:hAnsi="微软雅黑" w:eastAsia="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专注采购</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&amp; CPSM</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认证</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1B"/>
    <w:rsid w:val="00000BFD"/>
    <w:rsid w:val="00000EC9"/>
    <w:rsid w:val="00001618"/>
    <w:rsid w:val="00012BBD"/>
    <w:rsid w:val="000133C0"/>
    <w:rsid w:val="0001481B"/>
    <w:rsid w:val="00014A2B"/>
    <w:rsid w:val="00015B8C"/>
    <w:rsid w:val="0003098F"/>
    <w:rsid w:val="00031BBA"/>
    <w:rsid w:val="000436F4"/>
    <w:rsid w:val="00043B28"/>
    <w:rsid w:val="00045A18"/>
    <w:rsid w:val="00046D59"/>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65CF"/>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3B68"/>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27A1"/>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3FE7"/>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9D6"/>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0BA3"/>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579DD"/>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0A72"/>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4637"/>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2AD2"/>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0632"/>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61E"/>
    <w:rsid w:val="00D23954"/>
    <w:rsid w:val="00D25889"/>
    <w:rsid w:val="00D2716B"/>
    <w:rsid w:val="00D32545"/>
    <w:rsid w:val="00D33B27"/>
    <w:rsid w:val="00D35029"/>
    <w:rsid w:val="00D409B4"/>
    <w:rsid w:val="00D40A82"/>
    <w:rsid w:val="00D508C5"/>
    <w:rsid w:val="00D508EF"/>
    <w:rsid w:val="00D52A0D"/>
    <w:rsid w:val="00D551E6"/>
    <w:rsid w:val="00D567FA"/>
    <w:rsid w:val="00D5710C"/>
    <w:rsid w:val="00D601E7"/>
    <w:rsid w:val="00D60D7C"/>
    <w:rsid w:val="00D61792"/>
    <w:rsid w:val="00D63AA3"/>
    <w:rsid w:val="00D67DD3"/>
    <w:rsid w:val="00D771E9"/>
    <w:rsid w:val="00D811B4"/>
    <w:rsid w:val="00D82C18"/>
    <w:rsid w:val="00D838DB"/>
    <w:rsid w:val="00D8778D"/>
    <w:rsid w:val="00D93BB4"/>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09B2"/>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3182"/>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40B26D6"/>
    <w:rsid w:val="148C16CE"/>
    <w:rsid w:val="35F37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Indent 2"/>
    <w:basedOn w:val="1"/>
    <w:qFormat/>
    <w:uiPriority w:val="0"/>
    <w:pPr>
      <w:spacing w:line="360" w:lineRule="auto"/>
      <w:ind w:firstLine="630" w:firstLineChars="300"/>
    </w:pPr>
    <w:rPr>
      <w:rFonts w:ascii="仿宋_GB2312" w:hAnsi="宋体" w:eastAsia="仿宋_GB2312"/>
    </w:rPr>
  </w:style>
  <w:style w:type="paragraph" w:styleId="6">
    <w:name w:val="Balloon Text"/>
    <w:basedOn w:val="1"/>
    <w:link w:val="2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character" w:styleId="11">
    <w:name w:val="Strong"/>
    <w:qFormat/>
    <w:uiPriority w:val="22"/>
    <w:rPr>
      <w:b/>
      <w:bCs/>
    </w:rPr>
  </w:style>
  <w:style w:type="character" w:styleId="12">
    <w:name w:val="page number"/>
    <w:basedOn w:val="10"/>
    <w:qFormat/>
    <w:uiPriority w:val="0"/>
  </w:style>
  <w:style w:type="character" w:styleId="13">
    <w:name w:val="Hyperlink"/>
    <w:qFormat/>
    <w:uiPriority w:val="0"/>
    <w:rPr>
      <w:color w:val="0000FF"/>
      <w:u w:val="single"/>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9">
    <w:name w:val="bigstyle4"/>
    <w:basedOn w:val="10"/>
    <w:qFormat/>
    <w:uiPriority w:val="0"/>
  </w:style>
  <w:style w:type="paragraph" w:customStyle="1" w:styleId="2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22">
    <w:name w:val="样式 四号 加粗 自定义颜(RGB(45102145)) 下划线 图案: 15% (自动设置 前景 白色 背景)"/>
    <w:qFormat/>
    <w:uiPriority w:val="0"/>
    <w:rPr>
      <w:b/>
      <w:bCs/>
      <w:color w:val="FFFFFF"/>
      <w:spacing w:val="28"/>
      <w:sz w:val="28"/>
      <w:szCs w:val="28"/>
      <w:u w:val="single"/>
    </w:rPr>
  </w:style>
  <w:style w:type="paragraph" w:customStyle="1" w:styleId="23">
    <w:name w:val="Char Char Char Char1"/>
    <w:basedOn w:val="1"/>
    <w:qFormat/>
    <w:uiPriority w:val="0"/>
    <w:pPr>
      <w:widowControl/>
      <w:spacing w:after="160" w:line="240" w:lineRule="exact"/>
      <w:jc w:val="left"/>
    </w:pPr>
    <w:rPr>
      <w:szCs w:val="20"/>
    </w:rPr>
  </w:style>
  <w:style w:type="paragraph" w:customStyle="1" w:styleId="24">
    <w:name w:val="p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25">
    <w:name w:val="批注框文本 Char"/>
    <w:basedOn w:val="10"/>
    <w:link w:val="6"/>
    <w:qFormat/>
    <w:uiPriority w:val="0"/>
    <w:rPr>
      <w:kern w:val="2"/>
      <w:sz w:val="18"/>
      <w:szCs w:val="18"/>
    </w:rPr>
  </w:style>
  <w:style w:type="paragraph" w:styleId="26">
    <w:name w:val="List Paragraph"/>
    <w:basedOn w:val="1"/>
    <w:qFormat/>
    <w:uiPriority w:val="34"/>
    <w:pPr>
      <w:ind w:firstLine="420" w:firstLineChars="200"/>
    </w:pPr>
  </w:style>
  <w:style w:type="paragraph" w:customStyle="1" w:styleId="27">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
    <w:name w:val="Normal_2"/>
    <w:basedOn w:val="1"/>
    <w:qFormat/>
    <w:uiPriority w:val="0"/>
    <w:pPr>
      <w:spacing w:line="360" w:lineRule="exact"/>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66E1E-6766-4941-844F-7A601B4EE92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1041</Words>
  <Characters>5936</Characters>
  <Lines>49</Lines>
  <Paragraphs>13</Paragraphs>
  <TotalTime>23</TotalTime>
  <ScaleCrop>false</ScaleCrop>
  <LinksUpToDate>false</LinksUpToDate>
  <CharactersWithSpaces>6964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2017-11-02T01:28:00Z</dcterms:created>
  <dc:creator>帕迪咨询</dc:creator>
  <cp:lastModifiedBy>pc</cp:lastModifiedBy>
  <cp:lastPrinted>2007-07-25T08:25:00Z</cp:lastPrinted>
  <dcterms:modified xsi:type="dcterms:W3CDTF">2018-12-17T02:55:46Z</dcterms:modified>
  <dc:title>帕迪课程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