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45" w:rsidRPr="002A1B9E" w:rsidRDefault="00AD20EB" w:rsidP="00644645">
      <w:pPr>
        <w:widowControl/>
        <w:jc w:val="center"/>
        <w:rPr>
          <w:rFonts w:ascii="微软雅黑" w:eastAsia="微软雅黑" w:hAnsi="微软雅黑" w:cs="宋体"/>
          <w:bCs/>
          <w:color w:val="FF0000"/>
          <w:kern w:val="0"/>
          <w:sz w:val="48"/>
          <w:szCs w:val="48"/>
        </w:rPr>
      </w:pPr>
      <w:r w:rsidRPr="00AD20EB">
        <w:rPr>
          <w:rFonts w:ascii="华文新魏" w:eastAsia="华文新魏" w:hAnsi="华文楷体"/>
          <w:b/>
          <w:noProof/>
          <w:color w:val="FF0000"/>
          <w:sz w:val="30"/>
          <w:szCs w:val="30"/>
        </w:rPr>
        <w:pict>
          <v:rect id="_x0000_s2051" style="position:absolute;left:0;text-align:left;margin-left:-14.55pt;margin-top:-6pt;width:519pt;height:84.75pt;z-index:251661312" filled="f" fillcolor="#9cbee0" stroked="f" strokecolor="#739cc3" strokeweight="1.25pt">
            <v:fill color2="#bbd5f0" type="gradient">
              <o:fill v:ext="view" type="gradientUnscaled"/>
            </v:fill>
            <v:textbox style="mso-next-textbox:#_x0000_s2051">
              <w:txbxContent>
                <w:p w:rsidR="004F2D09" w:rsidRPr="00667086" w:rsidRDefault="00713B10" w:rsidP="00667086">
                  <w:pPr>
                    <w:pStyle w:val="a7"/>
                    <w:jc w:val="center"/>
                    <w:rPr>
                      <w:b/>
                      <w:color w:val="FF0000"/>
                      <w:kern w:val="0"/>
                      <w:sz w:val="44"/>
                      <w:szCs w:val="44"/>
                    </w:rPr>
                  </w:pPr>
                  <w:r>
                    <w:rPr>
                      <w:rFonts w:hint="eastAsia"/>
                      <w:b/>
                      <w:color w:val="FF0000"/>
                      <w:kern w:val="0"/>
                      <w:sz w:val="44"/>
                      <w:szCs w:val="44"/>
                    </w:rPr>
                    <w:t>《</w:t>
                  </w:r>
                  <w:r w:rsidR="004F2D09" w:rsidRPr="00667086">
                    <w:rPr>
                      <w:rFonts w:hint="eastAsia"/>
                      <w:b/>
                      <w:color w:val="FF0000"/>
                      <w:kern w:val="0"/>
                      <w:sz w:val="44"/>
                      <w:szCs w:val="44"/>
                    </w:rPr>
                    <w:t>海关监管改革与海关稽查疑难问题</w:t>
                  </w:r>
                </w:p>
                <w:p w:rsidR="00644645" w:rsidRPr="00667086" w:rsidRDefault="004F2D09" w:rsidP="00667086">
                  <w:pPr>
                    <w:pStyle w:val="a7"/>
                    <w:jc w:val="center"/>
                    <w:rPr>
                      <w:b/>
                      <w:color w:val="FF0000"/>
                      <w:kern w:val="0"/>
                      <w:sz w:val="44"/>
                      <w:szCs w:val="44"/>
                    </w:rPr>
                  </w:pPr>
                  <w:r w:rsidRPr="00667086">
                    <w:rPr>
                      <w:rFonts w:hint="eastAsia"/>
                      <w:b/>
                      <w:color w:val="FF0000"/>
                      <w:kern w:val="0"/>
                      <w:sz w:val="44"/>
                      <w:szCs w:val="44"/>
                    </w:rPr>
                    <w:t>企业关注的</w:t>
                  </w:r>
                  <w:r w:rsidR="006632B6" w:rsidRPr="00667086">
                    <w:rPr>
                      <w:rFonts w:hint="eastAsia"/>
                      <w:b/>
                      <w:color w:val="FF0000"/>
                      <w:kern w:val="0"/>
                      <w:sz w:val="44"/>
                      <w:szCs w:val="44"/>
                    </w:rPr>
                    <w:t>特许权使用费</w:t>
                  </w:r>
                  <w:r w:rsidRPr="00667086">
                    <w:rPr>
                      <w:rFonts w:hint="eastAsia"/>
                      <w:b/>
                      <w:color w:val="FF0000"/>
                      <w:kern w:val="0"/>
                      <w:sz w:val="44"/>
                      <w:szCs w:val="44"/>
                    </w:rPr>
                    <w:t>详解</w:t>
                  </w:r>
                  <w:r w:rsidR="006632B6" w:rsidRPr="00667086">
                    <w:rPr>
                      <w:rFonts w:hint="eastAsia"/>
                      <w:b/>
                      <w:color w:val="FF0000"/>
                      <w:kern w:val="0"/>
                      <w:sz w:val="44"/>
                      <w:szCs w:val="44"/>
                    </w:rPr>
                    <w:t>研讨班</w:t>
                  </w:r>
                  <w:r w:rsidR="00713B10">
                    <w:rPr>
                      <w:rFonts w:hint="eastAsia"/>
                      <w:b/>
                      <w:color w:val="FF0000"/>
                      <w:kern w:val="0"/>
                      <w:sz w:val="44"/>
                      <w:szCs w:val="44"/>
                    </w:rPr>
                    <w:t>》</w:t>
                  </w:r>
                </w:p>
              </w:txbxContent>
            </v:textbox>
          </v:rect>
        </w:pict>
      </w:r>
    </w:p>
    <w:p w:rsidR="00644645" w:rsidRPr="002A1B9E" w:rsidRDefault="00644645" w:rsidP="00644645"/>
    <w:p w:rsidR="006632B6" w:rsidRDefault="006632B6" w:rsidP="00644645">
      <w:pPr>
        <w:spacing w:line="340" w:lineRule="exact"/>
        <w:rPr>
          <w:rFonts w:ascii="宋体" w:hAnsi="宋体"/>
          <w:b/>
          <w:color w:val="FFFFFF"/>
          <w:szCs w:val="21"/>
          <w:highlight w:val="lightGray"/>
        </w:rPr>
      </w:pPr>
    </w:p>
    <w:p w:rsidR="00644645" w:rsidRPr="00C66D79" w:rsidRDefault="00644645" w:rsidP="00644645">
      <w:pPr>
        <w:spacing w:line="340" w:lineRule="exact"/>
        <w:rPr>
          <w:rFonts w:ascii="宋体" w:hAnsi="宋体"/>
          <w:b/>
          <w:szCs w:val="21"/>
        </w:rPr>
      </w:pPr>
      <w:r>
        <w:rPr>
          <w:rFonts w:ascii="宋体" w:hAnsi="宋体" w:hint="eastAsia"/>
          <w:b/>
          <w:color w:val="FFFFFF"/>
          <w:szCs w:val="21"/>
          <w:highlight w:val="lightGray"/>
        </w:rPr>
        <w:t>主办单位</w:t>
      </w:r>
      <w:r w:rsidRPr="00C66D79">
        <w:rPr>
          <w:rFonts w:ascii="宋体" w:hAnsi="宋体" w:hint="eastAsia"/>
          <w:b/>
          <w:color w:val="FFFFFF"/>
          <w:szCs w:val="21"/>
          <w:highlight w:val="lightGray"/>
        </w:rPr>
        <w:t>:</w:t>
      </w:r>
      <w:r w:rsidRPr="00C66D79">
        <w:rPr>
          <w:rFonts w:ascii="宋体" w:hAnsi="宋体" w:hint="eastAsia"/>
          <w:b/>
          <w:szCs w:val="21"/>
        </w:rPr>
        <w:t>北京世企联合企业管理咨询有限公司</w:t>
      </w:r>
      <w:r>
        <w:rPr>
          <w:rFonts w:ascii="宋体" w:hAnsi="宋体" w:hint="eastAsia"/>
          <w:b/>
          <w:szCs w:val="21"/>
        </w:rPr>
        <w:t xml:space="preserve">    贸易安全及便利化研究中心</w:t>
      </w:r>
    </w:p>
    <w:p w:rsidR="00644645" w:rsidRPr="00C66D79" w:rsidRDefault="00644645" w:rsidP="00644645">
      <w:pPr>
        <w:spacing w:line="340" w:lineRule="exact"/>
        <w:rPr>
          <w:rFonts w:ascii="宋体" w:hAnsi="宋体"/>
          <w:b/>
          <w:color w:val="FF0000"/>
          <w:szCs w:val="21"/>
        </w:rPr>
      </w:pPr>
      <w:r w:rsidRPr="00C66D79">
        <w:rPr>
          <w:rFonts w:ascii="宋体" w:hAnsi="宋体" w:hint="eastAsia"/>
          <w:b/>
          <w:color w:val="FFFFFF"/>
          <w:szCs w:val="21"/>
          <w:highlight w:val="lightGray"/>
        </w:rPr>
        <w:t>培训费用:</w:t>
      </w:r>
      <w:r>
        <w:rPr>
          <w:rFonts w:ascii="宋体" w:hAnsi="宋体" w:hint="eastAsia"/>
          <w:b/>
          <w:szCs w:val="21"/>
        </w:rPr>
        <w:t>3680</w:t>
      </w:r>
      <w:r w:rsidRPr="00063FA4">
        <w:rPr>
          <w:rFonts w:ascii="宋体" w:hAnsi="宋体" w:hint="eastAsia"/>
          <w:b/>
          <w:szCs w:val="21"/>
        </w:rPr>
        <w:t>元/人</w:t>
      </w:r>
      <w:r w:rsidRPr="00C66D79">
        <w:rPr>
          <w:rFonts w:ascii="宋体" w:hAnsi="宋体" w:hint="eastAsia"/>
          <w:szCs w:val="21"/>
        </w:rPr>
        <w:t>（含培训教材、午餐、茶歇、讲义、合影等）；</w:t>
      </w:r>
    </w:p>
    <w:p w:rsidR="00644645" w:rsidRPr="0006791E" w:rsidRDefault="00644645" w:rsidP="00644645">
      <w:pPr>
        <w:spacing w:line="340" w:lineRule="exact"/>
        <w:rPr>
          <w:rFonts w:ascii="宋体" w:hAnsi="宋体" w:cs="宋体"/>
          <w:b/>
          <w:kern w:val="0"/>
          <w:szCs w:val="21"/>
        </w:rPr>
      </w:pPr>
      <w:r>
        <w:rPr>
          <w:rFonts w:ascii="宋体" w:hAnsi="宋体" w:hint="eastAsia"/>
          <w:b/>
          <w:szCs w:val="21"/>
        </w:rPr>
        <w:t xml:space="preserve">   </w:t>
      </w:r>
    </w:p>
    <w:p w:rsidR="00644645" w:rsidRPr="00C66D79" w:rsidRDefault="00644645" w:rsidP="00644645">
      <w:pPr>
        <w:spacing w:line="340" w:lineRule="exact"/>
        <w:rPr>
          <w:rFonts w:ascii="宋体" w:hAnsi="宋体"/>
          <w:szCs w:val="21"/>
        </w:rPr>
      </w:pPr>
      <w:r>
        <w:rPr>
          <w:rFonts w:ascii="宋体" w:hAnsi="宋体" w:hint="eastAsia"/>
          <w:b/>
          <w:color w:val="FFFFFF"/>
          <w:szCs w:val="21"/>
          <w:highlight w:val="lightGray"/>
        </w:rPr>
        <w:t>报名方式</w:t>
      </w:r>
      <w:r w:rsidRPr="00C66D79">
        <w:rPr>
          <w:rFonts w:ascii="宋体" w:hAnsi="宋体" w:hint="eastAsia"/>
          <w:b/>
          <w:color w:val="FFFFFF"/>
          <w:szCs w:val="21"/>
          <w:highlight w:val="lightGray"/>
        </w:rPr>
        <w:t>:</w:t>
      </w:r>
      <w:r w:rsidRPr="00C66D79">
        <w:rPr>
          <w:rFonts w:ascii="宋体" w:hAnsi="宋体" w:hint="eastAsia"/>
          <w:szCs w:val="21"/>
        </w:rPr>
        <w:t>北京0</w:t>
      </w:r>
      <w:r w:rsidR="0005269C">
        <w:rPr>
          <w:rFonts w:ascii="宋体" w:hAnsi="宋体" w:hint="eastAsia"/>
          <w:szCs w:val="21"/>
        </w:rPr>
        <w:t>10-62719327</w:t>
      </w:r>
      <w:r>
        <w:rPr>
          <w:rFonts w:ascii="宋体" w:hAnsi="宋体" w:hint="eastAsia"/>
          <w:szCs w:val="21"/>
        </w:rPr>
        <w:t>手机/微信：</w:t>
      </w:r>
      <w:r w:rsidR="0005269C">
        <w:rPr>
          <w:rFonts w:ascii="宋体" w:hAnsi="宋体" w:hint="eastAsia"/>
          <w:szCs w:val="21"/>
        </w:rPr>
        <w:t>13121135903杜老师</w:t>
      </w:r>
    </w:p>
    <w:p w:rsidR="00644645" w:rsidRPr="002A1B9E" w:rsidRDefault="00644645" w:rsidP="00644645">
      <w:pPr>
        <w:spacing w:line="340" w:lineRule="exact"/>
        <w:ind w:left="1240" w:hangingChars="588" w:hanging="1240"/>
        <w:rPr>
          <w:rFonts w:ascii="宋体" w:hAnsi="宋体"/>
          <w:szCs w:val="21"/>
        </w:rPr>
      </w:pPr>
      <w:r>
        <w:rPr>
          <w:rFonts w:ascii="宋体" w:hAnsi="宋体" w:hint="eastAsia"/>
          <w:b/>
          <w:color w:val="FFFFFF"/>
          <w:szCs w:val="21"/>
          <w:highlight w:val="lightGray"/>
        </w:rPr>
        <w:t>参会对象</w:t>
      </w:r>
      <w:r w:rsidRPr="00C66D79">
        <w:rPr>
          <w:rFonts w:ascii="宋体" w:hAnsi="宋体" w:hint="eastAsia"/>
          <w:b/>
          <w:color w:val="FFFFFF"/>
          <w:szCs w:val="21"/>
          <w:highlight w:val="lightGray"/>
        </w:rPr>
        <w:t>:</w:t>
      </w:r>
      <w:r w:rsidRPr="00C66D79">
        <w:rPr>
          <w:rFonts w:ascii="宋体" w:hAnsi="宋体" w:hint="eastAsia"/>
          <w:szCs w:val="21"/>
        </w:rPr>
        <w:t xml:space="preserve"> 企业国际贸易部、物流部、报关企业、进出口通关事务部、单证员、以及企业涉外进出口等人员。</w:t>
      </w:r>
    </w:p>
    <w:p w:rsidR="00644645" w:rsidRPr="00D069B0" w:rsidRDefault="00AD20EB" w:rsidP="00644645">
      <w:pPr>
        <w:spacing w:line="220" w:lineRule="atLeast"/>
        <w:rPr>
          <w:rFonts w:ascii="宋体" w:hAnsi="宋体"/>
          <w:szCs w:val="21"/>
        </w:rPr>
      </w:pPr>
      <w:r>
        <w:rPr>
          <w:rFonts w:ascii="宋体" w:hAnsi="宋体"/>
          <w:noProof/>
          <w:szCs w:val="21"/>
        </w:rPr>
        <w:pict>
          <v:roundrect id="_x0000_s2052" style="position:absolute;left:0;text-align:left;margin-left:-2.25pt;margin-top:.85pt;width:64.5pt;height:23.25pt;z-index:251662336" arcsize="10923f" fillcolor="#205867" stroked="f" strokecolor="#739cc3" strokeweight=".25pt">
            <v:fill color2="fill lighten(51)" focusposition=".5,.5" focussize="" method="linear sigma" focus="100%" type="gradientRadial"/>
            <v:textbox>
              <w:txbxContent>
                <w:p w:rsidR="00644645" w:rsidRPr="0073373A" w:rsidRDefault="00644645" w:rsidP="00644645">
                  <w:pPr>
                    <w:rPr>
                      <w:b/>
                      <w:color w:val="FFFFFF"/>
                      <w:szCs w:val="21"/>
                    </w:rPr>
                  </w:pPr>
                  <w:r>
                    <w:rPr>
                      <w:rFonts w:hint="eastAsia"/>
                      <w:b/>
                      <w:color w:val="FFFFFF"/>
                      <w:szCs w:val="21"/>
                    </w:rPr>
                    <w:t>课程背景</w:t>
                  </w:r>
                </w:p>
              </w:txbxContent>
            </v:textbox>
          </v:roundrect>
        </w:pict>
      </w:r>
    </w:p>
    <w:p w:rsidR="00644645" w:rsidRPr="00D069B0" w:rsidRDefault="00644645" w:rsidP="00644645">
      <w:pPr>
        <w:pStyle w:val="a7"/>
      </w:pPr>
    </w:p>
    <w:p w:rsidR="0079363E" w:rsidRPr="0079363E" w:rsidRDefault="0079363E" w:rsidP="00787E53">
      <w:pPr>
        <w:pStyle w:val="a7"/>
        <w:ind w:firstLineChars="250" w:firstLine="525"/>
        <w:rPr>
          <w:color w:val="000000"/>
        </w:rPr>
      </w:pPr>
      <w:r w:rsidRPr="0079363E">
        <w:rPr>
          <w:rFonts w:hint="eastAsia"/>
          <w:color w:val="000000"/>
        </w:rPr>
        <w:t>2017</w:t>
      </w:r>
      <w:r w:rsidRPr="0079363E">
        <w:rPr>
          <w:rFonts w:hint="eastAsia"/>
          <w:color w:val="000000"/>
        </w:rPr>
        <w:t>年国际、国内经济形势依旧不明朗，全国通关一体化改革在加快通关速度的同时将日常关务风险延后，清关后的海关稽查力度、深度都将大幅的加强。伴随着海关“多查合一”改革的深入推进，海关稽查队伍将更加重视对企业物流、生产、财务、进出口单证及账簿的稽查；届时，不少企业违规、违法、走私等情形将逐一浮出水面。</w:t>
      </w:r>
      <w:r w:rsidRPr="0079363E">
        <w:rPr>
          <w:rFonts w:hint="eastAsia"/>
          <w:color w:val="000000"/>
        </w:rPr>
        <w:t>2017</w:t>
      </w:r>
      <w:r w:rsidRPr="0079363E">
        <w:rPr>
          <w:rFonts w:hint="eastAsia"/>
          <w:color w:val="000000"/>
        </w:rPr>
        <w:t>年海关将加大对</w:t>
      </w:r>
      <w:r w:rsidRPr="0079363E">
        <w:rPr>
          <w:rFonts w:hint="eastAsia"/>
          <w:color w:val="000000"/>
        </w:rPr>
        <w:t>2016</w:t>
      </w:r>
      <w:r w:rsidRPr="0079363E">
        <w:rPr>
          <w:rFonts w:hint="eastAsia"/>
          <w:color w:val="000000"/>
        </w:rPr>
        <w:t>年报关单改革中的“价格三个确认”的全面督查力度；与此同时，特许权使用费是广大跨国企业对外支付比较频繁的一笔费用，数额通常巨大；而海关最近几年对此类非贸付汇情况特别关注，企业事后被海关稽查并对此笔费用进行分摊补税的情事频发。</w:t>
      </w:r>
    </w:p>
    <w:p w:rsidR="00644645" w:rsidRDefault="0079363E" w:rsidP="0079363E">
      <w:pPr>
        <w:pStyle w:val="a7"/>
        <w:rPr>
          <w:color w:val="000000"/>
        </w:rPr>
      </w:pPr>
      <w:r w:rsidRPr="0079363E">
        <w:rPr>
          <w:rFonts w:hint="eastAsia"/>
          <w:color w:val="000000"/>
        </w:rPr>
        <w:t>本次培训就将针对以上背景，对我国新施行的《海关稽查条例》进行深度解读，并从海关和企业的角度深层剖析海关稽查要点及企业合规管理的薄弱点；同时，针对眼下海关对相关行业特许权使用费专项稽查一事，从海关《审价办法》出发结合行业典型案例，帮助与会人员理解特许权使用费企业支付及海关是否计征相关法律依据，提高企业贸易合规水平，降低企业经营成本和风险。</w:t>
      </w:r>
    </w:p>
    <w:p w:rsidR="0079363E" w:rsidRPr="00D069B0" w:rsidRDefault="00AD20EB" w:rsidP="0079363E">
      <w:pPr>
        <w:pStyle w:val="a7"/>
      </w:pPr>
      <w:r w:rsidRPr="00AD20EB">
        <w:rPr>
          <w:rFonts w:ascii="宋体" w:hAnsi="宋体"/>
          <w:noProof/>
          <w:szCs w:val="21"/>
        </w:rPr>
        <w:pict>
          <v:roundrect id="_x0000_s2053" style="position:absolute;left:0;text-align:left;margin-left:-2.25pt;margin-top:6.85pt;width:64.5pt;height:23.25pt;z-index:251663360" arcsize="10923f" fillcolor="#205867" stroked="f" strokecolor="#739cc3" strokeweight=".25pt">
            <v:fill color2="fill lighten(51)" focusposition=".5,.5" focussize="" method="linear sigma" focus="100%" type="gradientRadial"/>
            <v:textbox>
              <w:txbxContent>
                <w:p w:rsidR="00644645" w:rsidRPr="0073373A" w:rsidRDefault="00644645" w:rsidP="00644645">
                  <w:pPr>
                    <w:rPr>
                      <w:b/>
                      <w:color w:val="FFFFFF"/>
                      <w:szCs w:val="21"/>
                    </w:rPr>
                  </w:pPr>
                  <w:r>
                    <w:rPr>
                      <w:rFonts w:hint="eastAsia"/>
                      <w:b/>
                      <w:color w:val="FFFFFF"/>
                      <w:szCs w:val="21"/>
                    </w:rPr>
                    <w:t>课程目标</w:t>
                  </w:r>
                </w:p>
              </w:txbxContent>
            </v:textbox>
          </v:roundrect>
        </w:pict>
      </w:r>
    </w:p>
    <w:p w:rsidR="00644645" w:rsidRPr="00D069B0" w:rsidRDefault="00644645" w:rsidP="00644645">
      <w:pPr>
        <w:pStyle w:val="a7"/>
      </w:pPr>
    </w:p>
    <w:p w:rsidR="0079363E" w:rsidRPr="0079363E" w:rsidRDefault="0079363E" w:rsidP="0079363E">
      <w:pPr>
        <w:pStyle w:val="a7"/>
        <w:rPr>
          <w:b/>
          <w:color w:val="000000"/>
        </w:rPr>
      </w:pPr>
      <w:r w:rsidRPr="0079363E">
        <w:rPr>
          <w:rFonts w:hint="eastAsia"/>
          <w:b/>
          <w:color w:val="000000"/>
        </w:rPr>
        <w:t>本课程可以让培训者获得以下收益：</w:t>
      </w:r>
    </w:p>
    <w:p w:rsidR="0079363E" w:rsidRPr="0079363E" w:rsidRDefault="0079363E" w:rsidP="0079363E">
      <w:pPr>
        <w:pStyle w:val="a7"/>
        <w:rPr>
          <w:color w:val="000000"/>
        </w:rPr>
      </w:pPr>
      <w:r w:rsidRPr="0079363E">
        <w:rPr>
          <w:rFonts w:hint="eastAsia"/>
          <w:color w:val="000000"/>
        </w:rPr>
        <w:t>⒈</w:t>
      </w:r>
      <w:r w:rsidRPr="0079363E">
        <w:rPr>
          <w:rFonts w:hint="eastAsia"/>
          <w:color w:val="000000"/>
        </w:rPr>
        <w:tab/>
      </w:r>
      <w:r w:rsidRPr="0079363E">
        <w:rPr>
          <w:rFonts w:hint="eastAsia"/>
          <w:color w:val="000000"/>
        </w:rPr>
        <w:t>通过对比新、旧《海关稽查条例》相关内容，了解通关改革及海关执法理念的转变，熟知海关对进出口货物进行稽查关注的重点与“底线”；</w:t>
      </w:r>
    </w:p>
    <w:p w:rsidR="0079363E" w:rsidRPr="0079363E" w:rsidRDefault="0079363E" w:rsidP="0079363E">
      <w:pPr>
        <w:pStyle w:val="a7"/>
        <w:rPr>
          <w:color w:val="000000"/>
        </w:rPr>
      </w:pPr>
      <w:r w:rsidRPr="0079363E">
        <w:rPr>
          <w:rFonts w:hint="eastAsia"/>
          <w:color w:val="000000"/>
        </w:rPr>
        <w:t>⒉</w:t>
      </w:r>
      <w:r w:rsidRPr="0079363E">
        <w:rPr>
          <w:rFonts w:hint="eastAsia"/>
          <w:color w:val="000000"/>
        </w:rPr>
        <w:tab/>
      </w:r>
      <w:r w:rsidRPr="0079363E">
        <w:rPr>
          <w:rFonts w:hint="eastAsia"/>
          <w:color w:val="000000"/>
        </w:rPr>
        <w:t>了解海关现行全国性税收稽查的背景、特点，对企业经营活动中可能涉及的相关海关事务风险进行预先评估和防控，对已涉的各类企业海关事务问题进行积极、有效的应对和解决；</w:t>
      </w:r>
    </w:p>
    <w:p w:rsidR="0079363E" w:rsidRDefault="0079363E" w:rsidP="00644645">
      <w:pPr>
        <w:pStyle w:val="a7"/>
        <w:rPr>
          <w:color w:val="000000"/>
        </w:rPr>
      </w:pPr>
      <w:r w:rsidRPr="0079363E">
        <w:rPr>
          <w:rFonts w:hint="eastAsia"/>
          <w:color w:val="000000"/>
        </w:rPr>
        <w:t>⒊</w:t>
      </w:r>
      <w:r w:rsidRPr="0079363E">
        <w:rPr>
          <w:rFonts w:hint="eastAsia"/>
          <w:color w:val="000000"/>
        </w:rPr>
        <w:tab/>
      </w:r>
      <w:r w:rsidRPr="0079363E">
        <w:rPr>
          <w:rFonts w:hint="eastAsia"/>
          <w:color w:val="000000"/>
        </w:rPr>
        <w:t>充分理解海关现行《审价办法》中有关“特许权使用费”计征的法律条款，面对海关事后质疑及稽查，合理有效的利用这些规则，降低由此引发的相应关务风险和企业成本，便利通关。</w:t>
      </w:r>
    </w:p>
    <w:p w:rsidR="00644645" w:rsidRDefault="00AD20EB" w:rsidP="00644645">
      <w:pPr>
        <w:pStyle w:val="a7"/>
        <w:rPr>
          <w:color w:val="000000"/>
        </w:rPr>
      </w:pPr>
      <w:r w:rsidRPr="00AD20EB">
        <w:rPr>
          <w:rFonts w:ascii="宋体" w:hAnsi="宋体"/>
          <w:noProof/>
          <w:szCs w:val="21"/>
        </w:rPr>
        <w:pict>
          <v:roundrect id="_x0000_s2056" style="position:absolute;left:0;text-align:left;margin-left:-2.25pt;margin-top:7.9pt;width:64.5pt;height:23.25pt;z-index:251666432" arcsize="10923f" fillcolor="#205867" stroked="f" strokecolor="#739cc3" strokeweight=".25pt">
            <v:fill color2="fill lighten(51)" focusposition=".5,.5" focussize="" method="linear sigma" focus="100%" type="gradientRadial"/>
            <v:textbox>
              <w:txbxContent>
                <w:p w:rsidR="00644645" w:rsidRPr="0073373A" w:rsidRDefault="00644645" w:rsidP="00644645">
                  <w:pPr>
                    <w:rPr>
                      <w:b/>
                      <w:color w:val="FFFFFF"/>
                      <w:szCs w:val="21"/>
                    </w:rPr>
                  </w:pPr>
                  <w:r>
                    <w:rPr>
                      <w:rFonts w:hint="eastAsia"/>
                      <w:b/>
                      <w:color w:val="FFFFFF"/>
                      <w:szCs w:val="21"/>
                    </w:rPr>
                    <w:t>讲师介绍</w:t>
                  </w:r>
                </w:p>
              </w:txbxContent>
            </v:textbox>
          </v:roundrect>
        </w:pict>
      </w:r>
      <w:r>
        <w:rPr>
          <w:noProof/>
          <w:color w:val="000000"/>
        </w:rPr>
        <w:pict>
          <v:rect id="_x0000_s2055" style="position:absolute;left:0;text-align:left;margin-left:-53.4pt;margin-top:3.4pt;width:593.4pt;height:39pt;z-index:251665408" fillcolor="none" stroked="f" strokecolor="#739cc3" strokeweight="1.25pt">
            <v:fill color2="#bbd5f0" type="gradient">
              <o:fill v:ext="view" type="gradientUnscaled"/>
            </v:fill>
            <v:textbox>
              <w:txbxContent>
                <w:p w:rsidR="00644645" w:rsidRPr="002A1B9E" w:rsidRDefault="00644645" w:rsidP="0005269C">
                  <w:pPr>
                    <w:ind w:firstLineChars="850" w:firstLine="2560"/>
                    <w:rPr>
                      <w:rFonts w:ascii="楷体" w:eastAsia="楷体" w:hAnsi="楷体"/>
                      <w:b/>
                      <w:sz w:val="30"/>
                      <w:szCs w:val="30"/>
                    </w:rPr>
                  </w:pPr>
                  <w:r w:rsidRPr="002A1B9E">
                    <w:rPr>
                      <w:rFonts w:ascii="楷体" w:eastAsia="楷体" w:hAnsi="楷体" w:hint="eastAsia"/>
                      <w:b/>
                      <w:sz w:val="30"/>
                      <w:szCs w:val="30"/>
                    </w:rPr>
                    <w:t>王老师，</w:t>
                  </w:r>
                  <w:r w:rsidRPr="002A1B9E">
                    <w:rPr>
                      <w:rFonts w:ascii="楷体" w:eastAsia="楷体" w:hAnsi="楷体" w:hint="eastAsia"/>
                      <w:b/>
                      <w:color w:val="000000"/>
                      <w:sz w:val="30"/>
                      <w:szCs w:val="30"/>
                    </w:rPr>
                    <w:t>海关总署特聘讲师</w:t>
                  </w:r>
                </w:p>
              </w:txbxContent>
            </v:textbox>
          </v:rect>
        </w:pict>
      </w:r>
    </w:p>
    <w:p w:rsidR="00644645" w:rsidRDefault="00644645" w:rsidP="00644645">
      <w:pPr>
        <w:pStyle w:val="a7"/>
        <w:rPr>
          <w:color w:val="000000"/>
        </w:rPr>
      </w:pPr>
    </w:p>
    <w:p w:rsidR="00644645" w:rsidRDefault="00644645" w:rsidP="00644645">
      <w:pPr>
        <w:pStyle w:val="a7"/>
        <w:rPr>
          <w:color w:val="000000"/>
        </w:rPr>
      </w:pPr>
    </w:p>
    <w:p w:rsidR="00644645" w:rsidRPr="00152ED8" w:rsidRDefault="00644645" w:rsidP="00644645">
      <w:pPr>
        <w:pStyle w:val="a7"/>
        <w:ind w:firstLineChars="350" w:firstLine="735"/>
        <w:rPr>
          <w:b/>
          <w:color w:val="000000"/>
        </w:rPr>
      </w:pPr>
      <w:r>
        <w:rPr>
          <w:rFonts w:hint="eastAsia"/>
          <w:color w:val="000000"/>
        </w:rPr>
        <w:t>北京世企联合</w:t>
      </w:r>
      <w:r w:rsidRPr="000C0058">
        <w:rPr>
          <w:rFonts w:hint="eastAsia"/>
          <w:color w:val="000000"/>
        </w:rPr>
        <w:t>企业管理咨询有限公司</w:t>
      </w:r>
      <w:r w:rsidRPr="000C0058">
        <w:rPr>
          <w:rFonts w:hint="eastAsia"/>
          <w:b/>
          <w:color w:val="000000"/>
        </w:rPr>
        <w:t>关务领域专家</w:t>
      </w:r>
      <w:r>
        <w:rPr>
          <w:rFonts w:hint="eastAsia"/>
          <w:b/>
          <w:color w:val="000000"/>
        </w:rPr>
        <w:t>，</w:t>
      </w:r>
      <w:r w:rsidRPr="00152ED8">
        <w:rPr>
          <w:rFonts w:hint="eastAsia"/>
          <w:b/>
          <w:color w:val="000000"/>
        </w:rPr>
        <w:t>曾在上海海关工作，主要从事中国关务研究、咨询与培训工作，熟悉海关相关政策，如通关实务、</w:t>
      </w:r>
      <w:r w:rsidRPr="00152ED8">
        <w:rPr>
          <w:rFonts w:hint="eastAsia"/>
          <w:b/>
          <w:color w:val="000000"/>
        </w:rPr>
        <w:t>HS</w:t>
      </w:r>
      <w:r w:rsidRPr="00152ED8">
        <w:rPr>
          <w:rFonts w:hint="eastAsia"/>
          <w:b/>
          <w:color w:val="000000"/>
        </w:rPr>
        <w:t>编码专业审核、关务风险防控与内审、关务筹划与合规管理；同时为中国海关税收研究中心和关务研究中心专家组成员，中国海关学会会员。</w:t>
      </w:r>
    </w:p>
    <w:p w:rsidR="00644645" w:rsidRPr="002A1B9E" w:rsidRDefault="00644645" w:rsidP="00644645">
      <w:pPr>
        <w:pStyle w:val="a7"/>
        <w:ind w:firstLineChars="350" w:firstLine="735"/>
        <w:rPr>
          <w:color w:val="000000"/>
        </w:rPr>
      </w:pPr>
      <w:r w:rsidRPr="002A1B9E">
        <w:rPr>
          <w:rFonts w:hint="eastAsia"/>
          <w:color w:val="000000"/>
        </w:rPr>
        <w:t>社会兼职：中国德国商会海关事务高级培训师、关务顾问；同时利用自己的专业知识与实践经验为多家世界</w:t>
      </w:r>
      <w:r w:rsidRPr="002A1B9E">
        <w:rPr>
          <w:rFonts w:hint="eastAsia"/>
          <w:color w:val="000000"/>
        </w:rPr>
        <w:t>500</w:t>
      </w:r>
      <w:r w:rsidRPr="002A1B9E">
        <w:rPr>
          <w:rFonts w:hint="eastAsia"/>
          <w:color w:val="000000"/>
        </w:rPr>
        <w:t>强企业及国外商会提供进出口货物通关事务的培训与贸易合规咨询工作。</w:t>
      </w:r>
    </w:p>
    <w:p w:rsidR="00644645" w:rsidRPr="002A1B9E" w:rsidRDefault="00644645" w:rsidP="00644645">
      <w:pPr>
        <w:pStyle w:val="a7"/>
        <w:rPr>
          <w:color w:val="000000"/>
        </w:rPr>
      </w:pPr>
      <w:r w:rsidRPr="002A1B9E">
        <w:rPr>
          <w:rFonts w:hint="eastAsia"/>
          <w:color w:val="000000"/>
        </w:rPr>
        <w:t>王老师长期致力于关务管理规律的总结和传播，他的培训亦是多年来不断学习和提炼的智慧凝结。王老师坚持选择对关务人员有针对性的实用内容，在培训过程中，精心设计大量案例，用形象通俗的语言来阐明相对枯燥的实务操作，内容扎实，形式活泼，深受学员喜爱。</w:t>
      </w:r>
    </w:p>
    <w:p w:rsidR="00644645" w:rsidRDefault="00644645" w:rsidP="00644645">
      <w:pPr>
        <w:pStyle w:val="a7"/>
        <w:rPr>
          <w:color w:val="000000"/>
        </w:rPr>
      </w:pPr>
      <w:r w:rsidRPr="005A75AA">
        <w:rPr>
          <w:rFonts w:hint="eastAsia"/>
          <w:b/>
          <w:color w:val="000000"/>
        </w:rPr>
        <w:t>主要服务过的客户：</w:t>
      </w:r>
      <w:r w:rsidRPr="002A1B9E">
        <w:rPr>
          <w:rFonts w:hint="eastAsia"/>
          <w:color w:val="000000"/>
        </w:rPr>
        <w:t>法国驻上海总领事馆商务处、博世（中国）投资有限公司、金佰利（中国）有限公司、</w:t>
      </w:r>
      <w:r w:rsidRPr="002A1B9E">
        <w:rPr>
          <w:rFonts w:hint="eastAsia"/>
          <w:color w:val="000000"/>
        </w:rPr>
        <w:lastRenderedPageBreak/>
        <w:t>欧莱雅（中国）有限公司、爱玛仕（中国）有限公司、罗地亚（中国）投资有限公司、必维国际检测集团、毕克化学技术咨询（上海）有限公司、中欧纺织联盟、圣戈班研发（上海）有限公司、伊斯拉视像设备制造（上海）有限公司、中国东风汽车进出口有限公司、堡盟电子（上海）有限公司、蒂森克虏伯电梯（上海）有限公司、采埃夫（中国）有限公司、艾森曼机械设备（上海）有限公司、戴姆勒东北亚零部件贸易服务有限公司、朗盛化学（中国）有限公司、沪东重机有限公司、广州医药有限公司、卓能电子（太仓）有限公司、浙江物产国际贸易有限公司、欧皮特传动系统（太仓）有限公司、吉孚动力总成技术（苏州）有限公司、大陆汽车系统（常熟）有限公司、苏州松下系统科技有限公司‥‥‥</w:t>
      </w:r>
    </w:p>
    <w:p w:rsidR="00644645" w:rsidRPr="00D069B0" w:rsidRDefault="00644645" w:rsidP="00644645">
      <w:pPr>
        <w:pStyle w:val="a7"/>
      </w:pPr>
    </w:p>
    <w:p w:rsidR="00644645" w:rsidRPr="00D069B0" w:rsidRDefault="00AD20EB" w:rsidP="00644645">
      <w:pPr>
        <w:pStyle w:val="a7"/>
      </w:pPr>
      <w:r w:rsidRPr="00AD20EB">
        <w:rPr>
          <w:rFonts w:ascii="宋体" w:hAnsi="宋体"/>
          <w:noProof/>
          <w:szCs w:val="21"/>
        </w:rPr>
        <w:pict>
          <v:roundrect id="_x0000_s2054" style="position:absolute;left:0;text-align:left;margin-left:-2.25pt;margin-top:8.65pt;width:64.5pt;height:23.25pt;z-index:251664384" arcsize="10923f" fillcolor="#205867" stroked="f" strokecolor="#739cc3" strokeweight=".25pt">
            <v:fill color2="fill lighten(51)" focusposition=".5,.5" focussize="" method="linear sigma" focus="100%" type="gradientRadial"/>
            <v:textbox style="mso-next-textbox:#_x0000_s2054">
              <w:txbxContent>
                <w:p w:rsidR="00644645" w:rsidRPr="0073373A" w:rsidRDefault="00644645" w:rsidP="00644645">
                  <w:pPr>
                    <w:rPr>
                      <w:b/>
                      <w:color w:val="FFFFFF"/>
                      <w:szCs w:val="21"/>
                    </w:rPr>
                  </w:pPr>
                  <w:r>
                    <w:rPr>
                      <w:rFonts w:hint="eastAsia"/>
                      <w:b/>
                      <w:color w:val="FFFFFF"/>
                      <w:szCs w:val="21"/>
                    </w:rPr>
                    <w:t>课程大纲</w:t>
                  </w:r>
                </w:p>
              </w:txbxContent>
            </v:textbox>
          </v:roundrect>
        </w:pict>
      </w:r>
    </w:p>
    <w:p w:rsidR="00644645" w:rsidRPr="00D069B0" w:rsidRDefault="00644645" w:rsidP="00644645">
      <w:pPr>
        <w:pStyle w:val="a7"/>
      </w:pPr>
    </w:p>
    <w:p w:rsidR="00644645" w:rsidRPr="00F302EC" w:rsidRDefault="00644645" w:rsidP="00644645">
      <w:pPr>
        <w:pStyle w:val="a7"/>
        <w:rPr>
          <w:rFonts w:asciiTheme="minorEastAsia" w:eastAsiaTheme="minorEastAsia" w:hAnsiTheme="minorEastAsia"/>
          <w:b/>
          <w:szCs w:val="21"/>
        </w:rPr>
      </w:pPr>
      <w:r w:rsidRPr="00F302EC">
        <w:rPr>
          <w:rFonts w:asciiTheme="minorEastAsia" w:eastAsiaTheme="minorEastAsia" w:hAnsiTheme="minorEastAsia"/>
          <w:b/>
          <w:szCs w:val="21"/>
        </w:rPr>
        <w:t>一、</w:t>
      </w:r>
      <w:r w:rsidR="00335C8E">
        <w:rPr>
          <w:rFonts w:asciiTheme="minorEastAsia" w:eastAsiaTheme="minorEastAsia" w:hAnsiTheme="minorEastAsia" w:hint="eastAsia"/>
          <w:b/>
          <w:szCs w:val="21"/>
        </w:rPr>
        <w:t>2017年</w:t>
      </w:r>
      <w:r w:rsidR="00A07AF1">
        <w:rPr>
          <w:rFonts w:asciiTheme="minorEastAsia" w:eastAsiaTheme="minorEastAsia" w:hAnsiTheme="minorEastAsia" w:hint="eastAsia"/>
          <w:b/>
          <w:szCs w:val="21"/>
        </w:rPr>
        <w:t>关务合规、</w:t>
      </w:r>
      <w:r w:rsidR="000F2ACB" w:rsidRPr="000F2ACB">
        <w:rPr>
          <w:rFonts w:asciiTheme="minorEastAsia" w:eastAsiaTheme="minorEastAsia" w:hAnsiTheme="minorEastAsia" w:hint="eastAsia"/>
          <w:b/>
          <w:szCs w:val="21"/>
        </w:rPr>
        <w:t>海关稽查疑难问题</w:t>
      </w:r>
      <w:r w:rsidR="00A07AF1">
        <w:rPr>
          <w:rFonts w:asciiTheme="minorEastAsia" w:eastAsiaTheme="minorEastAsia" w:hAnsiTheme="minorEastAsia" w:hint="eastAsia"/>
          <w:b/>
          <w:szCs w:val="21"/>
        </w:rPr>
        <w:t>、</w:t>
      </w:r>
      <w:r w:rsidRPr="00F302EC">
        <w:rPr>
          <w:rFonts w:asciiTheme="minorEastAsia" w:eastAsiaTheme="minorEastAsia" w:hAnsiTheme="minorEastAsia" w:hint="eastAsia"/>
          <w:b/>
          <w:szCs w:val="21"/>
        </w:rPr>
        <w:t>规范和优化海关稽查程序</w:t>
      </w:r>
    </w:p>
    <w:p w:rsidR="00644645" w:rsidRPr="003E0265" w:rsidRDefault="00644645" w:rsidP="00644645">
      <w:pPr>
        <w:pStyle w:val="a7"/>
        <w:numPr>
          <w:ilvl w:val="0"/>
          <w:numId w:val="1"/>
        </w:numPr>
        <w:rPr>
          <w:rFonts w:asciiTheme="minorEastAsia" w:eastAsiaTheme="minorEastAsia" w:hAnsiTheme="minorEastAsia"/>
          <w:szCs w:val="21"/>
        </w:rPr>
      </w:pPr>
      <w:r w:rsidRPr="003E0265">
        <w:rPr>
          <w:rFonts w:asciiTheme="minorEastAsia" w:eastAsiaTheme="minorEastAsia" w:hAnsiTheme="minorEastAsia"/>
          <w:szCs w:val="21"/>
        </w:rPr>
        <w:t>新《海关稽查条例》</w:t>
      </w:r>
      <w:r w:rsidRPr="003E0265">
        <w:rPr>
          <w:rFonts w:asciiTheme="minorEastAsia" w:eastAsiaTheme="minorEastAsia" w:hAnsiTheme="minorEastAsia" w:hint="eastAsia"/>
          <w:szCs w:val="21"/>
        </w:rPr>
        <w:t>实施对于进出口企业相关影响;</w:t>
      </w:r>
    </w:p>
    <w:p w:rsidR="003E0265" w:rsidRPr="003E0265" w:rsidRDefault="003E0265" w:rsidP="00644645">
      <w:pPr>
        <w:pStyle w:val="a7"/>
        <w:numPr>
          <w:ilvl w:val="0"/>
          <w:numId w:val="1"/>
        </w:numPr>
        <w:rPr>
          <w:rFonts w:asciiTheme="minorEastAsia" w:eastAsiaTheme="minorEastAsia" w:hAnsiTheme="minorEastAsia"/>
          <w:szCs w:val="21"/>
        </w:rPr>
      </w:pPr>
      <w:r w:rsidRPr="003E0265">
        <w:rPr>
          <w:rFonts w:asciiTheme="minorEastAsia" w:eastAsiaTheme="minorEastAsia" w:hAnsiTheme="minorEastAsia" w:hint="eastAsia"/>
          <w:szCs w:val="21"/>
        </w:rPr>
        <w:t>海关稽查与进出口货物合规管理</w:t>
      </w:r>
    </w:p>
    <w:p w:rsidR="003E0265" w:rsidRPr="003E0265" w:rsidRDefault="003E0265" w:rsidP="00644645">
      <w:pPr>
        <w:pStyle w:val="a7"/>
        <w:numPr>
          <w:ilvl w:val="0"/>
          <w:numId w:val="1"/>
        </w:numPr>
        <w:rPr>
          <w:rFonts w:asciiTheme="minorEastAsia" w:eastAsiaTheme="minorEastAsia" w:hAnsiTheme="minorEastAsia"/>
          <w:szCs w:val="21"/>
        </w:rPr>
      </w:pPr>
      <w:r w:rsidRPr="003E0265">
        <w:rPr>
          <w:rFonts w:asciiTheme="minorEastAsia" w:eastAsiaTheme="minorEastAsia" w:hAnsiTheme="minorEastAsia" w:hint="eastAsia"/>
          <w:szCs w:val="21"/>
        </w:rPr>
        <w:t>2017海关新政解读及配套改革措施剖析</w:t>
      </w:r>
    </w:p>
    <w:p w:rsidR="00644645" w:rsidRPr="003E0265" w:rsidRDefault="00644645" w:rsidP="00644645">
      <w:pPr>
        <w:pStyle w:val="a7"/>
        <w:numPr>
          <w:ilvl w:val="0"/>
          <w:numId w:val="1"/>
        </w:numPr>
        <w:rPr>
          <w:rFonts w:asciiTheme="minorEastAsia" w:eastAsiaTheme="minorEastAsia" w:hAnsiTheme="minorEastAsia"/>
          <w:szCs w:val="21"/>
        </w:rPr>
      </w:pPr>
      <w:r w:rsidRPr="003E0265">
        <w:rPr>
          <w:rFonts w:asciiTheme="minorEastAsia" w:eastAsiaTheme="minorEastAsia" w:hAnsiTheme="minorEastAsia" w:hint="eastAsia"/>
          <w:szCs w:val="21"/>
        </w:rPr>
        <w:t>增加了对海关实施稽查具有保障和支撑作用的基础性措施;</w:t>
      </w:r>
    </w:p>
    <w:p w:rsidR="00644645" w:rsidRPr="003E0265" w:rsidRDefault="00644645" w:rsidP="00644645">
      <w:pPr>
        <w:pStyle w:val="a7"/>
        <w:numPr>
          <w:ilvl w:val="0"/>
          <w:numId w:val="1"/>
        </w:numPr>
        <w:rPr>
          <w:rFonts w:asciiTheme="minorEastAsia" w:eastAsiaTheme="minorEastAsia" w:hAnsiTheme="minorEastAsia"/>
          <w:szCs w:val="21"/>
        </w:rPr>
      </w:pPr>
      <w:r w:rsidRPr="003E0265">
        <w:rPr>
          <w:rFonts w:asciiTheme="minorEastAsia" w:eastAsiaTheme="minorEastAsia" w:hAnsiTheme="minorEastAsia" w:hint="eastAsia"/>
          <w:szCs w:val="21"/>
        </w:rPr>
        <w:t>进一步规范和优化海关稽查程序;</w:t>
      </w:r>
    </w:p>
    <w:p w:rsidR="00F302EC" w:rsidRPr="003E0265" w:rsidRDefault="00644645" w:rsidP="00F302EC">
      <w:pPr>
        <w:pStyle w:val="a7"/>
        <w:numPr>
          <w:ilvl w:val="0"/>
          <w:numId w:val="1"/>
        </w:numPr>
        <w:rPr>
          <w:rFonts w:asciiTheme="minorEastAsia" w:eastAsiaTheme="minorEastAsia" w:hAnsiTheme="minorEastAsia"/>
          <w:szCs w:val="21"/>
        </w:rPr>
      </w:pPr>
      <w:r w:rsidRPr="003E0265">
        <w:rPr>
          <w:rFonts w:asciiTheme="minorEastAsia" w:eastAsiaTheme="minorEastAsia" w:hAnsiTheme="minorEastAsia" w:hint="eastAsia"/>
          <w:szCs w:val="21"/>
        </w:rPr>
        <w:t>完善海关稽查职权和措施;</w:t>
      </w:r>
    </w:p>
    <w:p w:rsidR="00F302EC" w:rsidRPr="003E0265" w:rsidRDefault="00644645" w:rsidP="00F302EC">
      <w:pPr>
        <w:pStyle w:val="a7"/>
        <w:numPr>
          <w:ilvl w:val="0"/>
          <w:numId w:val="1"/>
        </w:numPr>
        <w:rPr>
          <w:rFonts w:asciiTheme="minorEastAsia" w:eastAsiaTheme="minorEastAsia" w:hAnsiTheme="minorEastAsia"/>
          <w:szCs w:val="21"/>
        </w:rPr>
      </w:pPr>
      <w:r w:rsidRPr="003E0265">
        <w:rPr>
          <w:rFonts w:asciiTheme="minorEastAsia" w:eastAsiaTheme="minorEastAsia" w:hAnsiTheme="minorEastAsia" w:hint="eastAsia"/>
          <w:szCs w:val="21"/>
        </w:rPr>
        <w:t>宽严相济惩处违法行为;</w:t>
      </w:r>
    </w:p>
    <w:p w:rsidR="00F302EC" w:rsidRPr="003E0265" w:rsidRDefault="00644645" w:rsidP="00F302EC">
      <w:pPr>
        <w:pStyle w:val="a7"/>
        <w:numPr>
          <w:ilvl w:val="0"/>
          <w:numId w:val="1"/>
        </w:numPr>
        <w:rPr>
          <w:rFonts w:asciiTheme="minorEastAsia" w:eastAsiaTheme="minorEastAsia" w:hAnsiTheme="minorEastAsia"/>
          <w:szCs w:val="21"/>
        </w:rPr>
      </w:pPr>
      <w:r w:rsidRPr="003E0265">
        <w:rPr>
          <w:rFonts w:asciiTheme="minorEastAsia" w:eastAsiaTheme="minorEastAsia" w:hAnsiTheme="minorEastAsia"/>
          <w:szCs w:val="21"/>
        </w:rPr>
        <w:t>海关稽查与进出口货物合规管理</w:t>
      </w:r>
      <w:r w:rsidRPr="003E0265">
        <w:rPr>
          <w:rFonts w:asciiTheme="minorEastAsia" w:eastAsiaTheme="minorEastAsia" w:hAnsiTheme="minorEastAsia" w:hint="eastAsia"/>
          <w:szCs w:val="21"/>
        </w:rPr>
        <w:t>.</w:t>
      </w:r>
    </w:p>
    <w:p w:rsidR="00F302EC" w:rsidRPr="003E0265" w:rsidRDefault="00F302EC" w:rsidP="00F302EC">
      <w:pPr>
        <w:pStyle w:val="a7"/>
        <w:numPr>
          <w:ilvl w:val="0"/>
          <w:numId w:val="1"/>
        </w:numPr>
        <w:rPr>
          <w:rFonts w:asciiTheme="minorEastAsia" w:eastAsiaTheme="minorEastAsia" w:hAnsiTheme="minorEastAsia"/>
          <w:szCs w:val="21"/>
        </w:rPr>
      </w:pPr>
      <w:r w:rsidRPr="003E0265">
        <w:rPr>
          <w:rFonts w:asciiTheme="minorEastAsia" w:eastAsiaTheme="minorEastAsia" w:hAnsiTheme="minorEastAsia" w:hint="eastAsia"/>
          <w:szCs w:val="21"/>
        </w:rPr>
        <w:t>通关一体化改革试点与海关稽查的跟进;</w:t>
      </w:r>
    </w:p>
    <w:p w:rsidR="00F302EC" w:rsidRPr="003E0265" w:rsidRDefault="00F302EC" w:rsidP="00F302EC">
      <w:pPr>
        <w:pStyle w:val="a7"/>
        <w:numPr>
          <w:ilvl w:val="0"/>
          <w:numId w:val="1"/>
        </w:numPr>
        <w:rPr>
          <w:rFonts w:asciiTheme="minorEastAsia" w:eastAsiaTheme="minorEastAsia" w:hAnsiTheme="minorEastAsia"/>
          <w:szCs w:val="21"/>
        </w:rPr>
      </w:pPr>
      <w:r w:rsidRPr="003E0265">
        <w:rPr>
          <w:rFonts w:asciiTheme="minorEastAsia" w:eastAsiaTheme="minorEastAsia" w:hAnsiTheme="minorEastAsia" w:hint="eastAsia"/>
          <w:szCs w:val="21"/>
        </w:rPr>
        <w:t>企业自查自报、主动披露与海关稽查;</w:t>
      </w:r>
    </w:p>
    <w:p w:rsidR="00F302EC" w:rsidRPr="003E0265" w:rsidRDefault="00F302EC" w:rsidP="00F302EC">
      <w:pPr>
        <w:pStyle w:val="a7"/>
        <w:numPr>
          <w:ilvl w:val="0"/>
          <w:numId w:val="1"/>
        </w:numPr>
        <w:rPr>
          <w:rFonts w:asciiTheme="minorEastAsia" w:eastAsiaTheme="minorEastAsia" w:hAnsiTheme="minorEastAsia"/>
          <w:szCs w:val="21"/>
        </w:rPr>
      </w:pPr>
      <w:r w:rsidRPr="003E0265">
        <w:rPr>
          <w:rFonts w:asciiTheme="minorEastAsia" w:eastAsiaTheme="minorEastAsia" w:hAnsiTheme="minorEastAsia" w:hint="eastAsia"/>
          <w:szCs w:val="21"/>
        </w:rPr>
        <w:t>进出口信用评定与海关稽查对象确定;</w:t>
      </w:r>
    </w:p>
    <w:p w:rsidR="00F302EC" w:rsidRPr="003E0265" w:rsidRDefault="00F302EC" w:rsidP="00F302EC">
      <w:pPr>
        <w:pStyle w:val="a7"/>
        <w:numPr>
          <w:ilvl w:val="0"/>
          <w:numId w:val="1"/>
        </w:numPr>
        <w:rPr>
          <w:rFonts w:asciiTheme="minorEastAsia" w:eastAsiaTheme="minorEastAsia" w:hAnsiTheme="minorEastAsia"/>
          <w:szCs w:val="21"/>
        </w:rPr>
      </w:pPr>
      <w:r w:rsidRPr="003E0265">
        <w:rPr>
          <w:rFonts w:asciiTheme="minorEastAsia" w:eastAsiaTheme="minorEastAsia" w:hAnsiTheme="minorEastAsia" w:hint="eastAsia"/>
          <w:szCs w:val="21"/>
        </w:rPr>
        <w:t>引入社会中介机构参与海关稽查效果;</w:t>
      </w:r>
    </w:p>
    <w:p w:rsidR="00F302EC" w:rsidRPr="003E0265" w:rsidRDefault="00F302EC" w:rsidP="00F302EC">
      <w:pPr>
        <w:pStyle w:val="a7"/>
        <w:numPr>
          <w:ilvl w:val="0"/>
          <w:numId w:val="1"/>
        </w:numPr>
        <w:rPr>
          <w:rFonts w:asciiTheme="minorEastAsia" w:eastAsiaTheme="minorEastAsia" w:hAnsiTheme="minorEastAsia"/>
          <w:szCs w:val="21"/>
        </w:rPr>
      </w:pPr>
      <w:r w:rsidRPr="003E0265">
        <w:rPr>
          <w:rFonts w:asciiTheme="minorEastAsia" w:eastAsiaTheme="minorEastAsia" w:hAnsiTheme="minorEastAsia" w:hint="eastAsia"/>
          <w:szCs w:val="21"/>
        </w:rPr>
        <w:t>贸易调研、海关稽查涉及商业机密处理;</w:t>
      </w:r>
    </w:p>
    <w:p w:rsidR="003E0265" w:rsidRPr="003E0265" w:rsidRDefault="00F302EC" w:rsidP="003E0265">
      <w:pPr>
        <w:pStyle w:val="a7"/>
        <w:numPr>
          <w:ilvl w:val="0"/>
          <w:numId w:val="1"/>
        </w:numPr>
        <w:rPr>
          <w:rFonts w:asciiTheme="minorEastAsia" w:eastAsiaTheme="minorEastAsia" w:hAnsiTheme="minorEastAsia"/>
          <w:szCs w:val="21"/>
        </w:rPr>
      </w:pPr>
      <w:r w:rsidRPr="003E0265">
        <w:rPr>
          <w:rFonts w:asciiTheme="minorEastAsia" w:eastAsiaTheme="minorEastAsia" w:hAnsiTheme="minorEastAsia" w:hint="eastAsia"/>
          <w:szCs w:val="21"/>
        </w:rPr>
        <w:t>企业如何适应海关常态化的专项稽查;</w:t>
      </w:r>
    </w:p>
    <w:p w:rsidR="00F302EC" w:rsidRPr="003E0265" w:rsidRDefault="00F302EC" w:rsidP="00F302EC">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w:t>
      </w:r>
    </w:p>
    <w:p w:rsidR="003E0265" w:rsidRPr="003E0265" w:rsidRDefault="003E0265" w:rsidP="003E0265">
      <w:pPr>
        <w:pStyle w:val="a7"/>
        <w:rPr>
          <w:rFonts w:asciiTheme="minorEastAsia" w:eastAsiaTheme="minorEastAsia" w:hAnsiTheme="minorEastAsia"/>
          <w:b/>
          <w:szCs w:val="21"/>
        </w:rPr>
      </w:pPr>
      <w:r w:rsidRPr="003E0265">
        <w:rPr>
          <w:rFonts w:asciiTheme="minorEastAsia" w:eastAsiaTheme="minorEastAsia" w:hAnsiTheme="minorEastAsia" w:hint="eastAsia"/>
          <w:b/>
          <w:szCs w:val="21"/>
        </w:rPr>
        <w:t>二、</w:t>
      </w:r>
      <w:r w:rsidR="00F16E43">
        <w:rPr>
          <w:rFonts w:asciiTheme="minorEastAsia" w:eastAsiaTheme="minorEastAsia" w:hAnsiTheme="minorEastAsia" w:hint="eastAsia"/>
          <w:b/>
          <w:szCs w:val="21"/>
        </w:rPr>
        <w:t>通关一体化-</w:t>
      </w:r>
      <w:r w:rsidRPr="003E0265">
        <w:rPr>
          <w:rFonts w:asciiTheme="minorEastAsia" w:eastAsiaTheme="minorEastAsia" w:hAnsiTheme="minorEastAsia" w:hint="eastAsia"/>
          <w:b/>
          <w:szCs w:val="21"/>
        </w:rPr>
        <w:t>海关稽查重点，企业如何应对</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⒈2017年全国海关稽查工作要点解读</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⒉企业收到海关稽查通知书该如何应对</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⒊海关下达稽查通知书的诱因有哪几种</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⒋什么样的企业受海关稽查的可能性较大</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⒌海关实施稽查企业的准备与部门间的配合</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⒍海关的稽查思路、模式，其具体操作流程</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⒎通常会从哪些角度入手，企业应如何应对</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⒏如何应对海关对商品税号引发的专项稽查</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⒐如何应对海关对特许权使用费的专项稽查</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⒑海关对减免税设备核查重点，企业如何应对</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⒒海关对保税业务的核查重点，企业如何应对</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⒓海关稽查部门在何种情况下会将案件移交缉私</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⒔如何更有效地配合海关稽查同时又能保护自己</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⒕企业AEO认证与关务风险排查与内审的实施</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w:t>
      </w:r>
    </w:p>
    <w:p w:rsidR="003E0265" w:rsidRPr="003E0265" w:rsidRDefault="003E0265" w:rsidP="003E0265">
      <w:pPr>
        <w:pStyle w:val="a7"/>
        <w:rPr>
          <w:rFonts w:asciiTheme="minorEastAsia" w:eastAsiaTheme="minorEastAsia" w:hAnsiTheme="minorEastAsia"/>
          <w:b/>
          <w:szCs w:val="21"/>
        </w:rPr>
      </w:pPr>
      <w:r w:rsidRPr="003E0265">
        <w:rPr>
          <w:rFonts w:asciiTheme="minorEastAsia" w:eastAsiaTheme="minorEastAsia" w:hAnsiTheme="minorEastAsia" w:hint="eastAsia"/>
          <w:b/>
          <w:szCs w:val="21"/>
        </w:rPr>
        <w:t>三、海关价格稽查与企业自查/自报评估</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⒈全国海关价格稽查新动向与新特点</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lastRenderedPageBreak/>
        <w:t>⒉海关价格稽查的重点与作业核心流程</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⒊海关税收形势与企业价格申报风险</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⒋报关单填制改革中的“价格三个确认”</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⒌“价格三个确认”处置思路与风险防控</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⒍货物完税价格认定原则和操作注意事项</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⒎企业货物价格申报，海关审价的关注点</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⒏成交价格适用范围与企业的申报价格</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⒐海关稽查处罚认定和企业补税额度确定</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⒑海关稽查时效及企业罚补税款的核算</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⒒一般贸易货物进口海关审价相关案例解析</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⒓加工贸易货物内销价格申报与海关价格审核</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⒔如何界定价格申报不实、规避价格瞒骗</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⒕海关与企业对进出口货物价格争议解决途径</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⒖企业自查报告撰写及解释材料的准备</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⒗海关稽查企业应对及自查/自报体系建立</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w:t>
      </w:r>
    </w:p>
    <w:p w:rsidR="003E0265" w:rsidRPr="003E0265" w:rsidRDefault="003E0265" w:rsidP="003E0265">
      <w:pPr>
        <w:pStyle w:val="a7"/>
        <w:rPr>
          <w:rFonts w:asciiTheme="minorEastAsia" w:eastAsiaTheme="minorEastAsia" w:hAnsiTheme="minorEastAsia"/>
          <w:b/>
          <w:szCs w:val="21"/>
        </w:rPr>
      </w:pPr>
      <w:r w:rsidRPr="003E0265">
        <w:rPr>
          <w:rFonts w:asciiTheme="minorEastAsia" w:eastAsiaTheme="minorEastAsia" w:hAnsiTheme="minorEastAsia" w:hint="eastAsia"/>
          <w:b/>
          <w:szCs w:val="21"/>
        </w:rPr>
        <w:t>四、特许权使用费的海关计征</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⒈企业申报价格海关与税务关注点</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⒉海关价格审核与企业转移定价制定</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⒊跨国企业关联交易与价格申报注意</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⒋企业价格申报常见问题剖析与解决</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⒌海关计征特许权使用费范围的界定</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⒍企业特许权使用费的申报时限认定</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⒎特许权使用费计征条件、条款的理解</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⒏特许权使用费销售要件的理解与认定</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⒐商标费、专利费、专有技术费海关计征</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⒑“轻度加工”的判断标准及条款理解</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⒒软件特许权使用费的认定和海关计征</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⒓特许权使用费的分摊原则与计算方法</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⒔“特许权使用费”计征与“协助”关系</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⒕特许权使用费计征与转移定价政策制定</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⒖特许权使用费统一支付与海关价格审核</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⒗特许权使用费协议签订、付汇与关务操作</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⒘企业非贸付汇与海关特许权使用费计征</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⒙技术许可/分销协议审核与海关价格质疑</w:t>
      </w:r>
    </w:p>
    <w:p w:rsidR="003E0265" w:rsidRPr="003E0265" w:rsidRDefault="003E0265" w:rsidP="003E0265">
      <w:pPr>
        <w:pStyle w:val="a7"/>
        <w:rPr>
          <w:rFonts w:asciiTheme="minorEastAsia" w:eastAsiaTheme="minorEastAsia" w:hAnsiTheme="minorEastAsia"/>
          <w:szCs w:val="21"/>
        </w:rPr>
      </w:pPr>
      <w:r w:rsidRPr="003E0265">
        <w:rPr>
          <w:rFonts w:asciiTheme="minorEastAsia" w:eastAsiaTheme="minorEastAsia" w:hAnsiTheme="minorEastAsia" w:hint="eastAsia"/>
          <w:szCs w:val="21"/>
        </w:rPr>
        <w:t>……</w:t>
      </w:r>
    </w:p>
    <w:p w:rsidR="003E0265" w:rsidRPr="00F302EC" w:rsidRDefault="003E0265" w:rsidP="00F302EC">
      <w:pPr>
        <w:pStyle w:val="a7"/>
        <w:rPr>
          <w:rFonts w:asciiTheme="minorEastAsia" w:eastAsiaTheme="minorEastAsia" w:hAnsiTheme="minorEastAsia"/>
          <w:szCs w:val="21"/>
        </w:rPr>
      </w:pPr>
    </w:p>
    <w:p w:rsidR="00644645" w:rsidRDefault="00644645" w:rsidP="00644645">
      <w:pPr>
        <w:rPr>
          <w:rFonts w:ascii="微软雅黑" w:eastAsia="微软雅黑" w:hAnsi="微软雅黑" w:cs="微软雅黑"/>
          <w:color w:val="000000"/>
          <w:kern w:val="0"/>
          <w:sz w:val="40"/>
          <w:szCs w:val="40"/>
        </w:rPr>
      </w:pPr>
    </w:p>
    <w:p w:rsidR="00787E53" w:rsidRDefault="00787E53" w:rsidP="00644645">
      <w:pPr>
        <w:rPr>
          <w:rFonts w:ascii="微软雅黑" w:eastAsia="微软雅黑" w:hAnsi="微软雅黑" w:cs="微软雅黑"/>
          <w:color w:val="000000"/>
          <w:kern w:val="0"/>
          <w:sz w:val="40"/>
          <w:szCs w:val="40"/>
        </w:rPr>
      </w:pPr>
    </w:p>
    <w:p w:rsidR="00644645" w:rsidRDefault="00644645" w:rsidP="00644645">
      <w:pPr>
        <w:jc w:val="center"/>
        <w:rPr>
          <w:rFonts w:ascii="微软雅黑" w:eastAsia="微软雅黑" w:hAnsi="微软雅黑" w:cs="微软雅黑"/>
          <w:color w:val="000000"/>
          <w:kern w:val="0"/>
          <w:sz w:val="40"/>
          <w:szCs w:val="40"/>
        </w:rPr>
      </w:pPr>
      <w:r>
        <w:rPr>
          <w:rFonts w:ascii="微软雅黑" w:eastAsia="微软雅黑" w:hAnsi="微软雅黑" w:cs="微软雅黑" w:hint="eastAsia"/>
          <w:color w:val="000000"/>
          <w:kern w:val="0"/>
          <w:sz w:val="40"/>
          <w:szCs w:val="40"/>
        </w:rPr>
        <w:lastRenderedPageBreak/>
        <w:t>[报名信息表]</w:t>
      </w:r>
    </w:p>
    <w:p w:rsidR="00644645" w:rsidRDefault="00644645" w:rsidP="00644645">
      <w:pPr>
        <w:spacing w:line="320" w:lineRule="exact"/>
        <w:rPr>
          <w:rFonts w:ascii="微软雅黑" w:eastAsia="微软雅黑" w:hAnsi="微软雅黑" w:cs="微软雅黑"/>
          <w:color w:val="000000"/>
          <w:szCs w:val="21"/>
        </w:rPr>
      </w:pPr>
    </w:p>
    <w:p w:rsidR="00335C8E" w:rsidRPr="00335C8E" w:rsidRDefault="00644645" w:rsidP="00335C8E">
      <w:pPr>
        <w:pStyle w:val="a7"/>
        <w:jc w:val="center"/>
        <w:rPr>
          <w:b/>
          <w:color w:val="000000" w:themeColor="text1"/>
          <w:kern w:val="0"/>
          <w:szCs w:val="21"/>
        </w:rPr>
      </w:pPr>
      <w:r>
        <w:rPr>
          <w:rFonts w:ascii="微软雅黑" w:eastAsia="微软雅黑" w:hAnsi="微软雅黑" w:cs="微软雅黑" w:hint="eastAsia"/>
          <w:color w:val="000000"/>
          <w:szCs w:val="21"/>
        </w:rPr>
        <w:t>我单位共人确定报名参加 2017年月日在举办的</w:t>
      </w:r>
      <w:r w:rsidRPr="00F53A55">
        <w:rPr>
          <w:rFonts w:ascii="微软雅黑" w:eastAsia="微软雅黑" w:hAnsi="微软雅黑" w:cs="微软雅黑" w:hint="eastAsia"/>
          <w:color w:val="000000"/>
          <w:szCs w:val="21"/>
        </w:rPr>
        <w:t>《</w:t>
      </w:r>
      <w:r w:rsidR="00335C8E" w:rsidRPr="00335C8E">
        <w:rPr>
          <w:rFonts w:hint="eastAsia"/>
          <w:b/>
          <w:color w:val="000000" w:themeColor="text1"/>
          <w:kern w:val="0"/>
          <w:szCs w:val="21"/>
        </w:rPr>
        <w:t>海关监管改革与海关稽查疑难问题</w:t>
      </w:r>
    </w:p>
    <w:p w:rsidR="00644645" w:rsidRPr="00F53A55" w:rsidRDefault="00335C8E" w:rsidP="00335C8E">
      <w:pPr>
        <w:spacing w:line="320" w:lineRule="exact"/>
        <w:ind w:leftChars="150" w:left="315"/>
        <w:rPr>
          <w:rFonts w:ascii="微软雅黑" w:eastAsia="微软雅黑" w:hAnsi="微软雅黑" w:cs="微软雅黑"/>
          <w:color w:val="000000"/>
          <w:szCs w:val="21"/>
        </w:rPr>
      </w:pPr>
      <w:r w:rsidRPr="00335C8E">
        <w:rPr>
          <w:rFonts w:hint="eastAsia"/>
          <w:b/>
          <w:color w:val="000000" w:themeColor="text1"/>
          <w:kern w:val="0"/>
          <w:szCs w:val="21"/>
        </w:rPr>
        <w:t>企业关注的特许权使用费详解研讨班</w:t>
      </w:r>
      <w:r w:rsidR="00644645" w:rsidRPr="00F53A55">
        <w:rPr>
          <w:rFonts w:ascii="微软雅黑" w:eastAsia="微软雅黑" w:hAnsi="微软雅黑" w:cs="微软雅黑" w:hint="eastAsia"/>
          <w:color w:val="000000"/>
          <w:szCs w:val="21"/>
        </w:rPr>
        <w:t>》培训班。</w:t>
      </w:r>
    </w:p>
    <w:tbl>
      <w:tblPr>
        <w:tblpPr w:leftFromText="180" w:rightFromText="180" w:vertAnchor="text" w:horzAnchor="page" w:tblpXSpec="center" w:tblpY="246"/>
        <w:tblW w:w="0" w:type="auto"/>
        <w:tblBorders>
          <w:top w:val="single" w:sz="8" w:space="0" w:color="4BACC6"/>
          <w:left w:val="single" w:sz="8" w:space="0" w:color="4BACC6"/>
          <w:bottom w:val="single" w:sz="8" w:space="0" w:color="4BACC6"/>
          <w:right w:val="single" w:sz="8" w:space="0" w:color="4BACC6"/>
        </w:tblBorders>
        <w:tblLayout w:type="fixed"/>
        <w:tblLook w:val="04A0"/>
      </w:tblPr>
      <w:tblGrid>
        <w:gridCol w:w="1384"/>
        <w:gridCol w:w="456"/>
        <w:gridCol w:w="1110"/>
        <w:gridCol w:w="159"/>
        <w:gridCol w:w="1161"/>
        <w:gridCol w:w="590"/>
        <w:gridCol w:w="1075"/>
        <w:gridCol w:w="269"/>
        <w:gridCol w:w="1213"/>
        <w:gridCol w:w="543"/>
        <w:gridCol w:w="1254"/>
      </w:tblGrid>
      <w:tr w:rsidR="00644645" w:rsidTr="005E4F96">
        <w:trPr>
          <w:trHeight w:val="471"/>
        </w:trPr>
        <w:tc>
          <w:tcPr>
            <w:tcW w:w="1384" w:type="dxa"/>
            <w:tcBorders>
              <w:top w:val="dotted" w:sz="4" w:space="0" w:color="auto"/>
              <w:left w:val="dotted" w:sz="4" w:space="0" w:color="auto"/>
              <w:bottom w:val="dotted" w:sz="4" w:space="0" w:color="auto"/>
              <w:right w:val="dotted" w:sz="4" w:space="0" w:color="auto"/>
            </w:tcBorders>
            <w:shd w:val="clear" w:color="auto" w:fill="4BACC6"/>
            <w:hideMark/>
          </w:tcPr>
          <w:p w:rsidR="00644645" w:rsidRPr="00E10024" w:rsidRDefault="00644645" w:rsidP="005E4F96">
            <w:pPr>
              <w:spacing w:line="400" w:lineRule="exact"/>
              <w:jc w:val="left"/>
              <w:rPr>
                <w:rFonts w:ascii="微软雅黑" w:eastAsia="微软雅黑" w:hAnsi="微软雅黑" w:cs="微软雅黑"/>
                <w:b/>
                <w:bCs/>
                <w:color w:val="FFFFFF"/>
                <w:szCs w:val="22"/>
              </w:rPr>
            </w:pPr>
            <w:r w:rsidRPr="00E10024">
              <w:rPr>
                <w:rFonts w:ascii="微软雅黑" w:eastAsia="微软雅黑" w:hAnsi="微软雅黑" w:cs="微软雅黑" w:hint="eastAsia"/>
                <w:b/>
                <w:bCs/>
                <w:color w:val="FFFFFF"/>
                <w:kern w:val="0"/>
              </w:rPr>
              <w:t>单位名称:</w:t>
            </w:r>
          </w:p>
        </w:tc>
        <w:tc>
          <w:tcPr>
            <w:tcW w:w="7830" w:type="dxa"/>
            <w:gridSpan w:val="10"/>
            <w:tcBorders>
              <w:top w:val="dotted" w:sz="4" w:space="0" w:color="auto"/>
              <w:left w:val="dotted" w:sz="4" w:space="0" w:color="auto"/>
              <w:bottom w:val="dotted" w:sz="4" w:space="0" w:color="auto"/>
              <w:right w:val="dotted" w:sz="4" w:space="0" w:color="auto"/>
            </w:tcBorders>
            <w:shd w:val="clear" w:color="auto" w:fill="4BACC6"/>
          </w:tcPr>
          <w:p w:rsidR="00644645" w:rsidRPr="00E10024" w:rsidRDefault="00644645" w:rsidP="005E4F96">
            <w:pPr>
              <w:spacing w:line="400" w:lineRule="exact"/>
              <w:jc w:val="left"/>
              <w:rPr>
                <w:rFonts w:ascii="微软雅黑" w:eastAsia="微软雅黑" w:hAnsi="微软雅黑" w:cs="微软雅黑"/>
                <w:b/>
                <w:bCs/>
                <w:color w:val="FFFFFF"/>
                <w:szCs w:val="22"/>
              </w:rPr>
            </w:pPr>
          </w:p>
        </w:tc>
      </w:tr>
      <w:tr w:rsidR="00644645" w:rsidTr="005E4F96">
        <w:trPr>
          <w:trHeight w:val="471"/>
        </w:trPr>
        <w:tc>
          <w:tcPr>
            <w:tcW w:w="1384" w:type="dxa"/>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left"/>
              <w:rPr>
                <w:rFonts w:ascii="微软雅黑" w:eastAsia="微软雅黑" w:hAnsi="微软雅黑" w:cs="微软雅黑"/>
                <w:b/>
                <w:bCs/>
                <w:szCs w:val="22"/>
              </w:rPr>
            </w:pPr>
            <w:r w:rsidRPr="00E10024">
              <w:rPr>
                <w:rFonts w:ascii="微软雅黑" w:eastAsia="微软雅黑" w:hAnsi="微软雅黑" w:cs="微软雅黑" w:hint="eastAsia"/>
                <w:b/>
                <w:bCs/>
                <w:kern w:val="0"/>
              </w:rPr>
              <w:t>地 址:</w:t>
            </w:r>
          </w:p>
        </w:tc>
        <w:tc>
          <w:tcPr>
            <w:tcW w:w="7830" w:type="dxa"/>
            <w:gridSpan w:val="10"/>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left"/>
              <w:rPr>
                <w:rFonts w:ascii="微软雅黑" w:eastAsia="微软雅黑" w:hAnsi="微软雅黑" w:cs="微软雅黑"/>
                <w:szCs w:val="22"/>
              </w:rPr>
            </w:pPr>
          </w:p>
        </w:tc>
      </w:tr>
      <w:tr w:rsidR="00644645" w:rsidTr="005E4F96">
        <w:trPr>
          <w:trHeight w:val="471"/>
        </w:trPr>
        <w:tc>
          <w:tcPr>
            <w:tcW w:w="1384" w:type="dxa"/>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left"/>
              <w:rPr>
                <w:rFonts w:ascii="微软雅黑" w:eastAsia="微软雅黑" w:hAnsi="微软雅黑" w:cs="微软雅黑"/>
                <w:b/>
                <w:bCs/>
                <w:szCs w:val="22"/>
              </w:rPr>
            </w:pPr>
            <w:r w:rsidRPr="00E10024">
              <w:rPr>
                <w:rFonts w:ascii="微软雅黑" w:eastAsia="微软雅黑" w:hAnsi="微软雅黑" w:cs="微软雅黑" w:hint="eastAsia"/>
                <w:b/>
                <w:bCs/>
                <w:kern w:val="0"/>
              </w:rPr>
              <w:t>联系人姓名:</w:t>
            </w:r>
          </w:p>
        </w:tc>
        <w:tc>
          <w:tcPr>
            <w:tcW w:w="3476" w:type="dxa"/>
            <w:gridSpan w:val="5"/>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left"/>
              <w:rPr>
                <w:rFonts w:ascii="微软雅黑" w:eastAsia="微软雅黑" w:hAnsi="微软雅黑" w:cs="微软雅黑"/>
                <w:szCs w:val="22"/>
              </w:rPr>
            </w:pPr>
          </w:p>
        </w:tc>
        <w:tc>
          <w:tcPr>
            <w:tcW w:w="1344" w:type="dxa"/>
            <w:gridSpan w:val="2"/>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left"/>
              <w:rPr>
                <w:rFonts w:ascii="微软雅黑" w:eastAsia="微软雅黑" w:hAnsi="微软雅黑" w:cs="微软雅黑"/>
                <w:b/>
                <w:bCs/>
                <w:szCs w:val="22"/>
              </w:rPr>
            </w:pPr>
            <w:r w:rsidRPr="00E10024">
              <w:rPr>
                <w:rFonts w:ascii="微软雅黑" w:eastAsia="微软雅黑" w:hAnsi="微软雅黑" w:cs="微软雅黑" w:hint="eastAsia"/>
                <w:b/>
                <w:bCs/>
                <w:kern w:val="0"/>
              </w:rPr>
              <w:t>部门/职务:</w:t>
            </w:r>
          </w:p>
        </w:tc>
        <w:tc>
          <w:tcPr>
            <w:tcW w:w="3010" w:type="dxa"/>
            <w:gridSpan w:val="3"/>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left"/>
              <w:rPr>
                <w:rFonts w:ascii="微软雅黑" w:eastAsia="微软雅黑" w:hAnsi="微软雅黑" w:cs="微软雅黑"/>
                <w:szCs w:val="22"/>
              </w:rPr>
            </w:pPr>
          </w:p>
        </w:tc>
      </w:tr>
      <w:tr w:rsidR="00644645" w:rsidTr="005E4F96">
        <w:trPr>
          <w:trHeight w:val="471"/>
        </w:trPr>
        <w:tc>
          <w:tcPr>
            <w:tcW w:w="1384" w:type="dxa"/>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left"/>
              <w:rPr>
                <w:rFonts w:ascii="微软雅黑" w:eastAsia="微软雅黑" w:hAnsi="微软雅黑" w:cs="微软雅黑"/>
                <w:b/>
                <w:bCs/>
                <w:szCs w:val="22"/>
              </w:rPr>
            </w:pPr>
            <w:r w:rsidRPr="00E10024">
              <w:rPr>
                <w:rFonts w:ascii="微软雅黑" w:eastAsia="微软雅黑" w:hAnsi="微软雅黑" w:cs="微软雅黑" w:hint="eastAsia"/>
                <w:b/>
                <w:bCs/>
                <w:kern w:val="0"/>
              </w:rPr>
              <w:t>电话/手 机:</w:t>
            </w:r>
          </w:p>
        </w:tc>
        <w:tc>
          <w:tcPr>
            <w:tcW w:w="1725" w:type="dxa"/>
            <w:gridSpan w:val="3"/>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left"/>
              <w:rPr>
                <w:rFonts w:ascii="微软雅黑" w:eastAsia="微软雅黑" w:hAnsi="微软雅黑" w:cs="微软雅黑"/>
                <w:szCs w:val="22"/>
              </w:rPr>
            </w:pPr>
          </w:p>
        </w:tc>
        <w:tc>
          <w:tcPr>
            <w:tcW w:w="1751" w:type="dxa"/>
            <w:gridSpan w:val="2"/>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left"/>
              <w:rPr>
                <w:rFonts w:ascii="微软雅黑" w:eastAsia="微软雅黑" w:hAnsi="微软雅黑" w:cs="微软雅黑"/>
                <w:szCs w:val="22"/>
              </w:rPr>
            </w:pPr>
          </w:p>
        </w:tc>
        <w:tc>
          <w:tcPr>
            <w:tcW w:w="1344" w:type="dxa"/>
            <w:gridSpan w:val="2"/>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left"/>
              <w:rPr>
                <w:rFonts w:ascii="微软雅黑" w:eastAsia="微软雅黑" w:hAnsi="微软雅黑" w:cs="微软雅黑"/>
                <w:b/>
                <w:bCs/>
                <w:szCs w:val="22"/>
              </w:rPr>
            </w:pPr>
            <w:r w:rsidRPr="00E10024">
              <w:rPr>
                <w:rFonts w:ascii="微软雅黑" w:eastAsia="微软雅黑" w:hAnsi="微软雅黑" w:cs="微软雅黑" w:hint="eastAsia"/>
                <w:b/>
                <w:bCs/>
                <w:kern w:val="0"/>
              </w:rPr>
              <w:t>E-mail:</w:t>
            </w:r>
          </w:p>
        </w:tc>
        <w:tc>
          <w:tcPr>
            <w:tcW w:w="3010" w:type="dxa"/>
            <w:gridSpan w:val="3"/>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left"/>
              <w:rPr>
                <w:rFonts w:ascii="微软雅黑" w:eastAsia="微软雅黑" w:hAnsi="微软雅黑" w:cs="微软雅黑"/>
                <w:szCs w:val="22"/>
              </w:rPr>
            </w:pPr>
          </w:p>
        </w:tc>
      </w:tr>
      <w:tr w:rsidR="00644645" w:rsidTr="005E4F96">
        <w:trPr>
          <w:trHeight w:val="471"/>
        </w:trPr>
        <w:tc>
          <w:tcPr>
            <w:tcW w:w="9214" w:type="dxa"/>
            <w:gridSpan w:val="11"/>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center"/>
              <w:rPr>
                <w:rFonts w:ascii="微软雅黑" w:eastAsia="微软雅黑" w:hAnsi="微软雅黑" w:cs="微软雅黑"/>
                <w:b/>
                <w:bCs/>
                <w:szCs w:val="22"/>
              </w:rPr>
            </w:pPr>
            <w:r w:rsidRPr="00E10024">
              <w:rPr>
                <w:rFonts w:ascii="微软雅黑" w:eastAsia="微软雅黑" w:hAnsi="微软雅黑" w:cs="微软雅黑" w:hint="eastAsia"/>
                <w:b/>
                <w:bCs/>
                <w:sz w:val="24"/>
              </w:rPr>
              <w:t>参 会 学 员 信 息</w:t>
            </w:r>
          </w:p>
        </w:tc>
      </w:tr>
      <w:tr w:rsidR="00644645" w:rsidTr="005E4F96">
        <w:trPr>
          <w:trHeight w:val="471"/>
        </w:trPr>
        <w:tc>
          <w:tcPr>
            <w:tcW w:w="1840" w:type="dxa"/>
            <w:gridSpan w:val="2"/>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center"/>
              <w:rPr>
                <w:rFonts w:ascii="微软雅黑" w:eastAsia="微软雅黑" w:hAnsi="微软雅黑" w:cs="微软雅黑"/>
                <w:b/>
                <w:bCs/>
                <w:szCs w:val="22"/>
              </w:rPr>
            </w:pPr>
            <w:r w:rsidRPr="00E10024">
              <w:rPr>
                <w:rFonts w:ascii="微软雅黑" w:eastAsia="微软雅黑" w:hAnsi="微软雅黑" w:cs="微软雅黑" w:hint="eastAsia"/>
                <w:b/>
                <w:bCs/>
                <w:kern w:val="0"/>
              </w:rPr>
              <w:t>姓 名</w:t>
            </w:r>
          </w:p>
        </w:tc>
        <w:tc>
          <w:tcPr>
            <w:tcW w:w="1110" w:type="dxa"/>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center"/>
              <w:rPr>
                <w:rFonts w:ascii="微软雅黑" w:eastAsia="微软雅黑" w:hAnsi="微软雅黑" w:cs="微软雅黑"/>
                <w:b/>
                <w:bCs/>
                <w:szCs w:val="22"/>
              </w:rPr>
            </w:pPr>
            <w:r w:rsidRPr="00E10024">
              <w:rPr>
                <w:rFonts w:ascii="微软雅黑" w:eastAsia="微软雅黑" w:hAnsi="微软雅黑" w:cs="微软雅黑" w:hint="eastAsia"/>
                <w:b/>
                <w:bCs/>
              </w:rPr>
              <w:t>性 别</w:t>
            </w:r>
          </w:p>
        </w:tc>
        <w:tc>
          <w:tcPr>
            <w:tcW w:w="1320" w:type="dxa"/>
            <w:gridSpan w:val="2"/>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center"/>
              <w:rPr>
                <w:rFonts w:ascii="微软雅黑" w:eastAsia="微软雅黑" w:hAnsi="微软雅黑" w:cs="微软雅黑"/>
                <w:b/>
                <w:bCs/>
                <w:szCs w:val="22"/>
              </w:rPr>
            </w:pPr>
            <w:r w:rsidRPr="00E10024">
              <w:rPr>
                <w:rFonts w:ascii="微软雅黑" w:eastAsia="微软雅黑" w:hAnsi="微软雅黑" w:cs="微软雅黑" w:hint="eastAsia"/>
                <w:b/>
                <w:bCs/>
              </w:rPr>
              <w:t>职 位</w:t>
            </w:r>
          </w:p>
        </w:tc>
        <w:tc>
          <w:tcPr>
            <w:tcW w:w="1665" w:type="dxa"/>
            <w:gridSpan w:val="2"/>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center"/>
              <w:rPr>
                <w:rFonts w:ascii="微软雅黑" w:eastAsia="微软雅黑" w:hAnsi="微软雅黑" w:cs="微软雅黑"/>
                <w:b/>
                <w:bCs/>
                <w:szCs w:val="22"/>
              </w:rPr>
            </w:pPr>
            <w:r w:rsidRPr="00E10024">
              <w:rPr>
                <w:rFonts w:ascii="微软雅黑" w:eastAsia="微软雅黑" w:hAnsi="微软雅黑" w:cs="微软雅黑" w:hint="eastAsia"/>
                <w:b/>
                <w:bCs/>
              </w:rPr>
              <w:t>手 机</w:t>
            </w:r>
          </w:p>
        </w:tc>
        <w:tc>
          <w:tcPr>
            <w:tcW w:w="2025" w:type="dxa"/>
            <w:gridSpan w:val="3"/>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center"/>
              <w:rPr>
                <w:rFonts w:ascii="微软雅黑" w:eastAsia="微软雅黑" w:hAnsi="微软雅黑" w:cs="微软雅黑"/>
                <w:b/>
                <w:bCs/>
                <w:kern w:val="0"/>
                <w:szCs w:val="22"/>
              </w:rPr>
            </w:pPr>
            <w:r w:rsidRPr="00E10024">
              <w:rPr>
                <w:rFonts w:ascii="微软雅黑" w:eastAsia="微软雅黑" w:hAnsi="微软雅黑" w:cs="微软雅黑" w:hint="eastAsia"/>
                <w:b/>
                <w:bCs/>
                <w:kern w:val="0"/>
              </w:rPr>
              <w:t>E-mail</w:t>
            </w:r>
          </w:p>
        </w:tc>
        <w:tc>
          <w:tcPr>
            <w:tcW w:w="1254" w:type="dxa"/>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center"/>
              <w:rPr>
                <w:rFonts w:ascii="微软雅黑" w:eastAsia="微软雅黑" w:hAnsi="微软雅黑" w:cs="微软雅黑"/>
                <w:b/>
                <w:bCs/>
                <w:szCs w:val="22"/>
              </w:rPr>
            </w:pPr>
            <w:r w:rsidRPr="00E10024">
              <w:rPr>
                <w:rFonts w:ascii="微软雅黑" w:eastAsia="微软雅黑" w:hAnsi="微软雅黑" w:cs="微软雅黑" w:hint="eastAsia"/>
                <w:b/>
                <w:bCs/>
              </w:rPr>
              <w:t>金 额</w:t>
            </w:r>
          </w:p>
        </w:tc>
      </w:tr>
      <w:tr w:rsidR="00644645" w:rsidTr="005E4F96">
        <w:trPr>
          <w:trHeight w:val="471"/>
        </w:trPr>
        <w:tc>
          <w:tcPr>
            <w:tcW w:w="1840" w:type="dxa"/>
            <w:gridSpan w:val="2"/>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b/>
                <w:bCs/>
                <w:szCs w:val="22"/>
              </w:rPr>
            </w:pPr>
          </w:p>
        </w:tc>
        <w:tc>
          <w:tcPr>
            <w:tcW w:w="1110" w:type="dxa"/>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c>
          <w:tcPr>
            <w:tcW w:w="1320" w:type="dxa"/>
            <w:gridSpan w:val="2"/>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c>
          <w:tcPr>
            <w:tcW w:w="1665" w:type="dxa"/>
            <w:gridSpan w:val="2"/>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c>
          <w:tcPr>
            <w:tcW w:w="2025" w:type="dxa"/>
            <w:gridSpan w:val="3"/>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c>
          <w:tcPr>
            <w:tcW w:w="1254" w:type="dxa"/>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r>
      <w:tr w:rsidR="00644645" w:rsidTr="005E4F96">
        <w:trPr>
          <w:trHeight w:val="471"/>
        </w:trPr>
        <w:tc>
          <w:tcPr>
            <w:tcW w:w="1840" w:type="dxa"/>
            <w:gridSpan w:val="2"/>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b/>
                <w:bCs/>
                <w:szCs w:val="22"/>
              </w:rPr>
            </w:pPr>
          </w:p>
        </w:tc>
        <w:tc>
          <w:tcPr>
            <w:tcW w:w="1110" w:type="dxa"/>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c>
          <w:tcPr>
            <w:tcW w:w="1320" w:type="dxa"/>
            <w:gridSpan w:val="2"/>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c>
          <w:tcPr>
            <w:tcW w:w="1665" w:type="dxa"/>
            <w:gridSpan w:val="2"/>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c>
          <w:tcPr>
            <w:tcW w:w="2025" w:type="dxa"/>
            <w:gridSpan w:val="3"/>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c>
          <w:tcPr>
            <w:tcW w:w="1254" w:type="dxa"/>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r>
      <w:tr w:rsidR="00644645" w:rsidTr="005E4F96">
        <w:trPr>
          <w:trHeight w:val="471"/>
        </w:trPr>
        <w:tc>
          <w:tcPr>
            <w:tcW w:w="1840" w:type="dxa"/>
            <w:gridSpan w:val="2"/>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b/>
                <w:bCs/>
                <w:szCs w:val="22"/>
              </w:rPr>
            </w:pPr>
          </w:p>
        </w:tc>
        <w:tc>
          <w:tcPr>
            <w:tcW w:w="1110" w:type="dxa"/>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c>
          <w:tcPr>
            <w:tcW w:w="1320" w:type="dxa"/>
            <w:gridSpan w:val="2"/>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c>
          <w:tcPr>
            <w:tcW w:w="1665" w:type="dxa"/>
            <w:gridSpan w:val="2"/>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c>
          <w:tcPr>
            <w:tcW w:w="2025" w:type="dxa"/>
            <w:gridSpan w:val="3"/>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c>
          <w:tcPr>
            <w:tcW w:w="1254" w:type="dxa"/>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r>
      <w:tr w:rsidR="00644645" w:rsidTr="005E4F96">
        <w:trPr>
          <w:trHeight w:val="471"/>
        </w:trPr>
        <w:tc>
          <w:tcPr>
            <w:tcW w:w="1840" w:type="dxa"/>
            <w:gridSpan w:val="2"/>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center"/>
              <w:rPr>
                <w:rFonts w:ascii="微软雅黑" w:eastAsia="微软雅黑" w:hAnsi="微软雅黑" w:cs="微软雅黑"/>
                <w:b/>
                <w:bCs/>
                <w:szCs w:val="22"/>
              </w:rPr>
            </w:pPr>
            <w:r w:rsidRPr="00E10024">
              <w:rPr>
                <w:rFonts w:ascii="微软雅黑" w:eastAsia="微软雅黑" w:hAnsi="微软雅黑" w:cs="微软雅黑" w:hint="eastAsia"/>
                <w:b/>
                <w:bCs/>
                <w:kern w:val="0"/>
              </w:rPr>
              <w:t>缴费方式</w:t>
            </w:r>
          </w:p>
        </w:tc>
        <w:tc>
          <w:tcPr>
            <w:tcW w:w="4095" w:type="dxa"/>
            <w:gridSpan w:val="5"/>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left"/>
              <w:rPr>
                <w:rFonts w:ascii="微软雅黑" w:eastAsia="微软雅黑" w:hAnsi="微软雅黑" w:cs="微软雅黑"/>
                <w:szCs w:val="22"/>
              </w:rPr>
            </w:pPr>
            <w:r w:rsidRPr="00E10024">
              <w:rPr>
                <w:rFonts w:ascii="微软雅黑" w:eastAsia="微软雅黑" w:hAnsi="微软雅黑" w:cs="微软雅黑" w:hint="eastAsia"/>
                <w:kern w:val="0"/>
              </w:rPr>
              <w:t> □ 转帐   □ 现金  （请选择 在□打√）</w:t>
            </w:r>
          </w:p>
        </w:tc>
        <w:tc>
          <w:tcPr>
            <w:tcW w:w="1482" w:type="dxa"/>
            <w:gridSpan w:val="2"/>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center"/>
              <w:rPr>
                <w:rFonts w:ascii="微软雅黑" w:eastAsia="微软雅黑" w:hAnsi="微软雅黑" w:cs="微软雅黑"/>
                <w:szCs w:val="22"/>
              </w:rPr>
            </w:pPr>
            <w:r w:rsidRPr="00E10024">
              <w:rPr>
                <w:rFonts w:ascii="微软雅黑" w:eastAsia="微软雅黑" w:hAnsi="微软雅黑" w:cs="微软雅黑" w:hint="eastAsia"/>
                <w:b/>
                <w:bCs/>
                <w:kern w:val="0"/>
              </w:rPr>
              <w:t>会员ID</w:t>
            </w:r>
          </w:p>
        </w:tc>
        <w:tc>
          <w:tcPr>
            <w:tcW w:w="1797" w:type="dxa"/>
            <w:gridSpan w:val="2"/>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left"/>
              <w:rPr>
                <w:rFonts w:ascii="微软雅黑" w:eastAsia="微软雅黑" w:hAnsi="微软雅黑" w:cs="微软雅黑"/>
                <w:szCs w:val="22"/>
              </w:rPr>
            </w:pPr>
          </w:p>
        </w:tc>
      </w:tr>
      <w:tr w:rsidR="00644645" w:rsidTr="005E4F96">
        <w:trPr>
          <w:trHeight w:val="471"/>
        </w:trPr>
        <w:tc>
          <w:tcPr>
            <w:tcW w:w="1840" w:type="dxa"/>
            <w:gridSpan w:val="2"/>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center"/>
              <w:rPr>
                <w:rFonts w:ascii="微软雅黑" w:eastAsia="微软雅黑" w:hAnsi="微软雅黑" w:cs="微软雅黑"/>
                <w:b/>
                <w:bCs/>
                <w:szCs w:val="22"/>
              </w:rPr>
            </w:pPr>
            <w:r w:rsidRPr="00E10024">
              <w:rPr>
                <w:rFonts w:ascii="微软雅黑" w:eastAsia="微软雅黑" w:hAnsi="微软雅黑" w:cs="微软雅黑" w:hint="eastAsia"/>
                <w:b/>
                <w:bCs/>
                <w:kern w:val="0"/>
              </w:rPr>
              <w:t>住宿要求</w:t>
            </w:r>
          </w:p>
        </w:tc>
        <w:tc>
          <w:tcPr>
            <w:tcW w:w="7374" w:type="dxa"/>
            <w:gridSpan w:val="9"/>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widowControl/>
              <w:adjustRightInd w:val="0"/>
              <w:snapToGrid w:val="0"/>
              <w:spacing w:line="400" w:lineRule="exact"/>
              <w:ind w:firstLineChars="100" w:firstLine="211"/>
              <w:jc w:val="left"/>
              <w:rPr>
                <w:rFonts w:ascii="微软雅黑" w:eastAsia="微软雅黑" w:hAnsi="微软雅黑" w:cs="微软雅黑"/>
                <w:kern w:val="0"/>
              </w:rPr>
            </w:pPr>
            <w:r>
              <w:rPr>
                <w:rFonts w:hint="eastAsia"/>
                <w:b/>
                <w:bCs/>
                <w:noProof/>
              </w:rPr>
              <w:drawing>
                <wp:anchor distT="0" distB="0" distL="114300" distR="114300" simplePos="0" relativeHeight="251660288" behindDoc="1" locked="0" layoutInCell="1" allowOverlap="1">
                  <wp:simplePos x="0" y="0"/>
                  <wp:positionH relativeFrom="column">
                    <wp:posOffset>2465070</wp:posOffset>
                  </wp:positionH>
                  <wp:positionV relativeFrom="paragraph">
                    <wp:posOffset>135255</wp:posOffset>
                  </wp:positionV>
                  <wp:extent cx="1628775" cy="1630680"/>
                  <wp:effectExtent l="19050" t="0" r="9525" b="0"/>
                  <wp:wrapNone/>
                  <wp:docPr id="2" name="图片 4" descr="世企联合-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世企联合-公章"/>
                          <pic:cNvPicPr>
                            <a:picLocks noChangeAspect="1" noChangeArrowheads="1"/>
                          </pic:cNvPicPr>
                        </pic:nvPicPr>
                        <pic:blipFill>
                          <a:blip r:embed="rId7" cstate="print"/>
                          <a:srcRect/>
                          <a:stretch>
                            <a:fillRect/>
                          </a:stretch>
                        </pic:blipFill>
                        <pic:spPr bwMode="auto">
                          <a:xfrm>
                            <a:off x="0" y="0"/>
                            <a:ext cx="1628775" cy="1630680"/>
                          </a:xfrm>
                          <a:prstGeom prst="rect">
                            <a:avLst/>
                          </a:prstGeom>
                          <a:noFill/>
                          <a:ln w="9525">
                            <a:noFill/>
                            <a:miter lim="800000"/>
                            <a:headEnd/>
                            <a:tailEnd/>
                          </a:ln>
                        </pic:spPr>
                      </pic:pic>
                    </a:graphicData>
                  </a:graphic>
                </wp:anchor>
              </w:drawing>
            </w:r>
            <w:r w:rsidRPr="00E10024">
              <w:rPr>
                <w:rFonts w:ascii="微软雅黑" w:eastAsia="微软雅黑" w:hAnsi="微软雅黑" w:cs="微软雅黑" w:hint="eastAsia"/>
                <w:kern w:val="0"/>
              </w:rPr>
              <w:t>预定：双人房</w:t>
            </w:r>
            <w:r w:rsidRPr="00E10024">
              <w:rPr>
                <w:rFonts w:ascii="微软雅黑" w:eastAsia="微软雅黑" w:hAnsi="微软雅黑" w:cs="微软雅黑" w:hint="eastAsia"/>
                <w:kern w:val="0"/>
                <w:u w:val="single"/>
              </w:rPr>
              <w:t>___</w:t>
            </w:r>
            <w:r w:rsidRPr="00E10024">
              <w:rPr>
                <w:rFonts w:ascii="微软雅黑" w:eastAsia="微软雅黑" w:hAnsi="微软雅黑" w:cs="微软雅黑" w:hint="eastAsia"/>
                <w:kern w:val="0"/>
              </w:rPr>
              <w:t>间；单人房</w:t>
            </w:r>
            <w:r w:rsidRPr="00E10024">
              <w:rPr>
                <w:rFonts w:ascii="微软雅黑" w:eastAsia="微软雅黑" w:hAnsi="微软雅黑" w:cs="微软雅黑" w:hint="eastAsia"/>
                <w:kern w:val="0"/>
                <w:u w:val="single"/>
              </w:rPr>
              <w:t>___</w:t>
            </w:r>
            <w:r w:rsidRPr="00E10024">
              <w:rPr>
                <w:rFonts w:ascii="微软雅黑" w:eastAsia="微软雅黑" w:hAnsi="微软雅黑" w:cs="微软雅黑" w:hint="eastAsia"/>
                <w:kern w:val="0"/>
              </w:rPr>
              <w:t>间，住宿时间：</w:t>
            </w:r>
            <w:r w:rsidRPr="00E10024">
              <w:rPr>
                <w:rFonts w:ascii="微软雅黑" w:eastAsia="微软雅黑" w:hAnsi="微软雅黑" w:cs="微软雅黑" w:hint="eastAsia"/>
                <w:kern w:val="0"/>
                <w:u w:val="single"/>
              </w:rPr>
              <w:t>__</w:t>
            </w:r>
            <w:r w:rsidRPr="00E10024">
              <w:rPr>
                <w:rFonts w:ascii="微软雅黑" w:eastAsia="微软雅黑" w:hAnsi="微软雅黑" w:cs="微软雅黑" w:hint="eastAsia"/>
                <w:kern w:val="0"/>
              </w:rPr>
              <w:t xml:space="preserve"> 月 </w:t>
            </w:r>
            <w:r w:rsidRPr="00E10024">
              <w:rPr>
                <w:rFonts w:ascii="微软雅黑" w:eastAsia="微软雅黑" w:hAnsi="微软雅黑" w:cs="微软雅黑" w:hint="eastAsia"/>
                <w:kern w:val="0"/>
                <w:u w:val="single"/>
              </w:rPr>
              <w:t>__</w:t>
            </w:r>
            <w:r w:rsidRPr="00E10024">
              <w:rPr>
                <w:rFonts w:ascii="微软雅黑" w:eastAsia="微软雅黑" w:hAnsi="微软雅黑" w:cs="微软雅黑" w:hint="eastAsia"/>
                <w:kern w:val="0"/>
              </w:rPr>
              <w:t xml:space="preserve"> 至 </w:t>
            </w:r>
            <w:r w:rsidRPr="00E10024">
              <w:rPr>
                <w:rFonts w:ascii="微软雅黑" w:eastAsia="微软雅黑" w:hAnsi="微软雅黑" w:cs="微软雅黑" w:hint="eastAsia"/>
                <w:kern w:val="0"/>
                <w:u w:val="single"/>
              </w:rPr>
              <w:t>__</w:t>
            </w:r>
            <w:r w:rsidRPr="00E10024">
              <w:rPr>
                <w:rFonts w:ascii="微软雅黑" w:eastAsia="微软雅黑" w:hAnsi="微软雅黑" w:cs="微软雅黑" w:hint="eastAsia"/>
                <w:kern w:val="0"/>
              </w:rPr>
              <w:t xml:space="preserve"> 日</w:t>
            </w:r>
          </w:p>
          <w:p w:rsidR="00644645" w:rsidRPr="00E10024" w:rsidRDefault="00644645" w:rsidP="005E4F96">
            <w:pPr>
              <w:spacing w:line="400" w:lineRule="exact"/>
              <w:jc w:val="left"/>
              <w:rPr>
                <w:rFonts w:ascii="微软雅黑" w:eastAsia="微软雅黑" w:hAnsi="微软雅黑" w:cs="微软雅黑"/>
                <w:szCs w:val="22"/>
              </w:rPr>
            </w:pPr>
            <w:r w:rsidRPr="00E10024">
              <w:rPr>
                <w:rFonts w:ascii="微软雅黑" w:eastAsia="微软雅黑" w:hAnsi="微软雅黑" w:cs="微软雅黑" w:hint="eastAsia"/>
                <w:kern w:val="0"/>
              </w:rPr>
              <w:t>(不用预定请留空)</w:t>
            </w:r>
          </w:p>
        </w:tc>
      </w:tr>
    </w:tbl>
    <w:p w:rsidR="00644645" w:rsidRDefault="00644645" w:rsidP="00644645">
      <w:pPr>
        <w:widowControl/>
        <w:adjustRightInd w:val="0"/>
        <w:snapToGrid w:val="0"/>
        <w:spacing w:line="320" w:lineRule="exact"/>
        <w:rPr>
          <w:rFonts w:ascii="微软雅黑" w:eastAsia="微软雅黑" w:hAnsi="微软雅黑" w:cs="微软雅黑"/>
          <w:kern w:val="0"/>
          <w:szCs w:val="21"/>
          <w:lang w:val="zh-CN"/>
        </w:rPr>
      </w:pPr>
    </w:p>
    <w:p w:rsidR="00644645" w:rsidRDefault="00644645" w:rsidP="00644645">
      <w:pPr>
        <w:widowControl/>
        <w:adjustRightInd w:val="0"/>
        <w:snapToGrid w:val="0"/>
        <w:spacing w:line="320" w:lineRule="exact"/>
        <w:ind w:firstLineChars="100" w:firstLine="210"/>
        <w:rPr>
          <w:rFonts w:ascii="微软雅黑" w:eastAsia="微软雅黑" w:hAnsi="微软雅黑" w:cs="微软雅黑"/>
          <w:szCs w:val="21"/>
        </w:rPr>
      </w:pPr>
      <w:r>
        <w:rPr>
          <w:rFonts w:ascii="微软雅黑" w:eastAsia="微软雅黑" w:hAnsi="微软雅黑" w:cs="微软雅黑" w:hint="eastAsia"/>
          <w:kern w:val="0"/>
          <w:szCs w:val="21"/>
          <w:lang w:val="zh-CN"/>
        </w:rPr>
        <w:t>此表所填信息仅用于招生工作，如需参加请填写回传给我们</w:t>
      </w:r>
      <w:r>
        <w:rPr>
          <w:rFonts w:ascii="微软雅黑" w:eastAsia="微软雅黑" w:hAnsi="微软雅黑" w:cs="微软雅黑" w:hint="eastAsia"/>
          <w:szCs w:val="21"/>
        </w:rPr>
        <w:t>，以便及时为您安排会务并发确认函，</w:t>
      </w:r>
    </w:p>
    <w:p w:rsidR="00644645" w:rsidRDefault="00644645" w:rsidP="00644645">
      <w:pPr>
        <w:widowControl/>
        <w:adjustRightInd w:val="0"/>
        <w:snapToGrid w:val="0"/>
        <w:spacing w:line="320" w:lineRule="exact"/>
        <w:ind w:firstLineChars="100" w:firstLine="210"/>
        <w:rPr>
          <w:rFonts w:ascii="微软雅黑" w:eastAsia="微软雅黑" w:hAnsi="微软雅黑" w:cs="微软雅黑"/>
          <w:szCs w:val="21"/>
        </w:rPr>
      </w:pPr>
      <w:r>
        <w:rPr>
          <w:rFonts w:ascii="微软雅黑" w:eastAsia="微软雅黑" w:hAnsi="微软雅黑" w:cs="微软雅黑" w:hint="eastAsia"/>
          <w:szCs w:val="21"/>
        </w:rPr>
        <w:t>谢谢支持！</w:t>
      </w:r>
      <w:r>
        <w:rPr>
          <w:rFonts w:ascii="微软雅黑" w:eastAsia="微软雅黑" w:hAnsi="微软雅黑" w:cs="微软雅黑" w:hint="eastAsia"/>
          <w:kern w:val="0"/>
          <w:szCs w:val="21"/>
        </w:rPr>
        <w:t>报名方式如下：</w:t>
      </w:r>
    </w:p>
    <w:p w:rsidR="00644645" w:rsidRDefault="00644645" w:rsidP="00644645">
      <w:pPr>
        <w:widowControl/>
        <w:adjustRightInd w:val="0"/>
        <w:snapToGrid w:val="0"/>
        <w:spacing w:line="320" w:lineRule="exact"/>
        <w:ind w:firstLineChars="100" w:firstLine="210"/>
        <w:rPr>
          <w:rFonts w:ascii="微软雅黑" w:eastAsia="微软雅黑" w:hAnsi="微软雅黑" w:cs="微软雅黑"/>
          <w:kern w:val="0"/>
          <w:szCs w:val="21"/>
        </w:rPr>
      </w:pPr>
      <w:r>
        <w:rPr>
          <w:rFonts w:ascii="微软雅黑" w:eastAsia="微软雅黑" w:hAnsi="微软雅黑" w:cs="微软雅黑" w:hint="eastAsia"/>
          <w:kern w:val="0"/>
          <w:szCs w:val="21"/>
        </w:rPr>
        <w:t>传真：北京</w:t>
      </w:r>
      <w:r w:rsidR="0005269C">
        <w:rPr>
          <w:rFonts w:ascii="微软雅黑" w:eastAsia="微软雅黑" w:hAnsi="微软雅黑" w:cs="微软雅黑" w:hint="eastAsia"/>
          <w:kern w:val="0"/>
          <w:szCs w:val="21"/>
        </w:rPr>
        <w:t>010-62719488</w:t>
      </w:r>
      <w:r>
        <w:rPr>
          <w:rFonts w:ascii="微软雅黑" w:eastAsia="微软雅黑" w:hAnsi="微软雅黑" w:cs="微软雅黑" w:hint="eastAsia"/>
          <w:kern w:val="0"/>
          <w:szCs w:val="21"/>
        </w:rPr>
        <w:t xml:space="preserve">  Email：</w:t>
      </w:r>
      <w:hyperlink r:id="rId8" w:history="1">
        <w:r w:rsidR="0005269C" w:rsidRPr="0031315B">
          <w:rPr>
            <w:rStyle w:val="a5"/>
            <w:rFonts w:ascii="微软雅黑" w:eastAsia="微软雅黑" w:hAnsi="微软雅黑" w:cs="微软雅黑" w:hint="eastAsia"/>
            <w:kern w:val="0"/>
            <w:szCs w:val="21"/>
          </w:rPr>
          <w:t>13121135903@qq.com</w:t>
        </w:r>
      </w:hyperlink>
      <w:r>
        <w:rPr>
          <w:rFonts w:ascii="微软雅黑" w:eastAsia="微软雅黑" w:hAnsi="微软雅黑" w:cs="微软雅黑" w:hint="eastAsia"/>
          <w:kern w:val="0"/>
          <w:szCs w:val="21"/>
        </w:rPr>
        <w:t>，</w:t>
      </w:r>
      <w:r w:rsidR="0005269C">
        <w:rPr>
          <w:rFonts w:ascii="微软雅黑" w:eastAsia="微软雅黑" w:hAnsi="微软雅黑" w:cs="微软雅黑" w:hint="eastAsia"/>
          <w:kern w:val="0"/>
          <w:szCs w:val="21"/>
        </w:rPr>
        <w:t>杜老师</w:t>
      </w:r>
    </w:p>
    <w:p w:rsidR="00644645" w:rsidRPr="00647D63" w:rsidRDefault="00644645" w:rsidP="00644645">
      <w:pPr>
        <w:widowControl/>
        <w:adjustRightInd w:val="0"/>
        <w:snapToGrid w:val="0"/>
        <w:spacing w:line="320" w:lineRule="exact"/>
        <w:ind w:firstLineChars="100" w:firstLine="210"/>
        <w:rPr>
          <w:rFonts w:ascii="微软雅黑" w:eastAsia="微软雅黑" w:hAnsi="微软雅黑" w:cs="微软雅黑"/>
          <w:szCs w:val="21"/>
        </w:rPr>
      </w:pPr>
      <w:r>
        <w:rPr>
          <w:rFonts w:ascii="微软雅黑" w:eastAsia="微软雅黑" w:hAnsi="微软雅黑" w:cs="微软雅黑" w:hint="eastAsia"/>
          <w:kern w:val="0"/>
          <w:szCs w:val="21"/>
        </w:rPr>
        <w:t>联系电话：010-</w:t>
      </w:r>
      <w:r w:rsidR="0005269C">
        <w:rPr>
          <w:rFonts w:ascii="微软雅黑" w:eastAsia="微软雅黑" w:hAnsi="微软雅黑" w:cs="微软雅黑" w:hint="eastAsia"/>
          <w:kern w:val="0"/>
          <w:szCs w:val="21"/>
        </w:rPr>
        <w:t>62719327   13121135903</w:t>
      </w:r>
      <w:bookmarkStart w:id="0" w:name="_GoBack"/>
      <w:bookmarkEnd w:id="0"/>
      <w:r>
        <w:rPr>
          <w:rFonts w:ascii="微软雅黑" w:eastAsia="微软雅黑" w:hAnsi="微软雅黑" w:cs="微软雅黑" w:hint="eastAsia"/>
          <w:kern w:val="0"/>
          <w:szCs w:val="21"/>
        </w:rPr>
        <w:t>；</w:t>
      </w:r>
    </w:p>
    <w:p w:rsidR="00105FBD" w:rsidRPr="00644645" w:rsidRDefault="00105FBD"/>
    <w:sectPr w:rsidR="00105FBD" w:rsidRPr="00644645" w:rsidSect="006956E9">
      <w:headerReference w:type="default" r:id="rId9"/>
      <w:footerReference w:type="even" r:id="rId10"/>
      <w:footerReference w:type="default" r:id="rId11"/>
      <w:pgSz w:w="11906" w:h="16838"/>
      <w:pgMar w:top="1440" w:right="1080" w:bottom="1440" w:left="1080" w:header="851" w:footer="624"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C66" w:rsidRDefault="00FC5C66" w:rsidP="00440406">
      <w:r>
        <w:separator/>
      </w:r>
    </w:p>
  </w:endnote>
  <w:endnote w:type="continuationSeparator" w:id="1">
    <w:p w:rsidR="00FC5C66" w:rsidRDefault="00FC5C66" w:rsidP="00440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51" w:rsidRDefault="00AD20EB">
    <w:pPr>
      <w:pStyle w:val="a4"/>
      <w:framePr w:h="0" w:wrap="around" w:vAnchor="text" w:hAnchor="margin" w:xAlign="right" w:y="1"/>
      <w:rPr>
        <w:rStyle w:val="a6"/>
      </w:rPr>
    </w:pPr>
    <w:r>
      <w:fldChar w:fldCharType="begin"/>
    </w:r>
    <w:r w:rsidR="00105FBD">
      <w:rPr>
        <w:rStyle w:val="a6"/>
      </w:rPr>
      <w:instrText xml:space="preserve">PAGE  </w:instrText>
    </w:r>
    <w:r>
      <w:fldChar w:fldCharType="end"/>
    </w:r>
  </w:p>
  <w:p w:rsidR="00DD3051" w:rsidRDefault="00FC5C6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978"/>
      <w:gridCol w:w="998"/>
    </w:tblGrid>
    <w:tr w:rsidR="004E7C69">
      <w:tc>
        <w:tcPr>
          <w:tcW w:w="4500" w:type="pct"/>
          <w:tcBorders>
            <w:top w:val="single" w:sz="4" w:space="0" w:color="000000"/>
          </w:tcBorders>
        </w:tcPr>
        <w:p w:rsidR="004E7C69" w:rsidRDefault="00AD20EB" w:rsidP="001C60D3">
          <w:pPr>
            <w:pStyle w:val="a4"/>
            <w:ind w:right="360"/>
            <w:jc w:val="center"/>
          </w:pPr>
          <w:r w:rsidRPr="00AD20EB">
            <w:rPr>
              <w:noProof/>
              <w:color w:val="0F243E"/>
              <w:sz w:val="21"/>
              <w:szCs w:val="21"/>
            </w:rPr>
            <w:pict>
              <v:rect id="_x0000_s1027" style="position:absolute;left:0;text-align:left;margin-left:-57pt;margin-top:3.25pt;width:611.25pt;height:43.5pt;z-index:251662336" fillcolor="#e5dfec" strokecolor="#dbe5f1" strokeweight="1.25pt">
                <v:fill opacity="37356f" color2="#bbd5f0" type="gradient">
                  <o:fill v:ext="view" type="gradientUnscaled"/>
                </v:fill>
                <v:textbox>
                  <w:txbxContent>
                    <w:p w:rsidR="00334513" w:rsidRPr="003703E1" w:rsidRDefault="00105FBD" w:rsidP="00334513">
                      <w:pPr>
                        <w:pStyle w:val="a7"/>
                        <w:ind w:firstLineChars="650" w:firstLine="1170"/>
                        <w:rPr>
                          <w:sz w:val="18"/>
                          <w:szCs w:val="18"/>
                        </w:rPr>
                      </w:pPr>
                      <w:r w:rsidRPr="003703E1">
                        <w:rPr>
                          <w:rFonts w:hint="eastAsia"/>
                          <w:sz w:val="18"/>
                          <w:szCs w:val="18"/>
                        </w:rPr>
                        <w:t>北京世企联合企业管理咨询有限公司中国·北京总部</w:t>
                      </w:r>
                    </w:p>
                    <w:p w:rsidR="00334513" w:rsidRPr="003703E1" w:rsidRDefault="00FC5C66" w:rsidP="00334513">
                      <w:pPr>
                        <w:pStyle w:val="a7"/>
                        <w:ind w:firstLineChars="1450" w:firstLine="2610"/>
                        <w:rPr>
                          <w:sz w:val="18"/>
                          <w:szCs w:val="18"/>
                        </w:rPr>
                      </w:pPr>
                    </w:p>
                  </w:txbxContent>
                </v:textbox>
              </v:rect>
            </w:pict>
          </w:r>
        </w:p>
      </w:tc>
      <w:tc>
        <w:tcPr>
          <w:tcW w:w="500" w:type="pct"/>
          <w:tcBorders>
            <w:top w:val="single" w:sz="4" w:space="0" w:color="C0504D"/>
          </w:tcBorders>
          <w:shd w:val="clear" w:color="auto" w:fill="943634"/>
        </w:tcPr>
        <w:p w:rsidR="004E7C69" w:rsidRDefault="00AD20EB">
          <w:pPr>
            <w:pStyle w:val="a3"/>
            <w:rPr>
              <w:color w:val="FFFFFF"/>
            </w:rPr>
          </w:pPr>
          <w:r>
            <w:fldChar w:fldCharType="begin"/>
          </w:r>
          <w:r w:rsidR="00105FBD">
            <w:instrText xml:space="preserve"> PAGE   \* MERGEFORMAT </w:instrText>
          </w:r>
          <w:r>
            <w:fldChar w:fldCharType="separate"/>
          </w:r>
          <w:r w:rsidR="005E17E1" w:rsidRPr="005E17E1">
            <w:rPr>
              <w:noProof/>
              <w:color w:val="FFFFFF"/>
              <w:lang w:val="zh-CN"/>
            </w:rPr>
            <w:t>1</w:t>
          </w:r>
          <w:r>
            <w:fldChar w:fldCharType="end"/>
          </w:r>
        </w:p>
      </w:tc>
    </w:tr>
  </w:tbl>
  <w:p w:rsidR="00DA4A57" w:rsidRPr="00DA4A57" w:rsidRDefault="00FC5C66" w:rsidP="00DA4A57">
    <w:pPr>
      <w:pStyle w:val="a4"/>
      <w:ind w:right="63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C66" w:rsidRDefault="00FC5C66" w:rsidP="00440406">
      <w:r>
        <w:separator/>
      </w:r>
    </w:p>
  </w:footnote>
  <w:footnote w:type="continuationSeparator" w:id="1">
    <w:p w:rsidR="00FC5C66" w:rsidRDefault="00FC5C66" w:rsidP="00440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841" w:rsidRDefault="00AD20EB" w:rsidP="0005269C">
    <w:pPr>
      <w:pStyle w:val="a3"/>
      <w:pBdr>
        <w:bottom w:val="none" w:sz="0" w:space="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25pt;margin-top:-19.7pt;width:110.05pt;height:39.1pt;z-index:251661312">
          <v:imagedata r:id="rId1" o:title="横版左右简称"/>
        </v:shape>
      </w:pict>
    </w:r>
    <w:r>
      <w:rPr>
        <w:noProof/>
      </w:rPr>
      <w:pict>
        <v:shape id="图片 4" o:spid="_x0000_s1025" type="#_x0000_t75" style="position:absolute;left:0;text-align:left;margin-left:-63.75pt;margin-top:-43.3pt;width:604.5pt;height:243pt;z-index:-251656192;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C1429"/>
    <w:multiLevelType w:val="hybridMultilevel"/>
    <w:tmpl w:val="4F526158"/>
    <w:lvl w:ilvl="0" w:tplc="97ECAA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78202B"/>
    <w:multiLevelType w:val="hybridMultilevel"/>
    <w:tmpl w:val="B568C7D4"/>
    <w:lvl w:ilvl="0" w:tplc="97ECAA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39225D5"/>
    <w:multiLevelType w:val="hybridMultilevel"/>
    <w:tmpl w:val="485ECE02"/>
    <w:lvl w:ilvl="0" w:tplc="97ECAA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F2A7893"/>
    <w:multiLevelType w:val="hybridMultilevel"/>
    <w:tmpl w:val="EE607B2E"/>
    <w:lvl w:ilvl="0" w:tplc="97ECAA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DFC759C"/>
    <w:multiLevelType w:val="hybridMultilevel"/>
    <w:tmpl w:val="8B6ACDB8"/>
    <w:lvl w:ilvl="0" w:tplc="97ECAA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0406"/>
    <w:rsid w:val="0005269C"/>
    <w:rsid w:val="000551B2"/>
    <w:rsid w:val="00085269"/>
    <w:rsid w:val="000F2ACB"/>
    <w:rsid w:val="00105FBD"/>
    <w:rsid w:val="00335C8E"/>
    <w:rsid w:val="003C2843"/>
    <w:rsid w:val="003E0265"/>
    <w:rsid w:val="00402B33"/>
    <w:rsid w:val="004342E9"/>
    <w:rsid w:val="00440406"/>
    <w:rsid w:val="004A12F9"/>
    <w:rsid w:val="004C75F2"/>
    <w:rsid w:val="004F2D09"/>
    <w:rsid w:val="005E17E1"/>
    <w:rsid w:val="00644645"/>
    <w:rsid w:val="006632B6"/>
    <w:rsid w:val="00667086"/>
    <w:rsid w:val="0067739A"/>
    <w:rsid w:val="00713B10"/>
    <w:rsid w:val="00740061"/>
    <w:rsid w:val="00787E53"/>
    <w:rsid w:val="0079363E"/>
    <w:rsid w:val="007B4283"/>
    <w:rsid w:val="007C192A"/>
    <w:rsid w:val="00872F08"/>
    <w:rsid w:val="00887876"/>
    <w:rsid w:val="008E365C"/>
    <w:rsid w:val="008F4E8B"/>
    <w:rsid w:val="00A07AF1"/>
    <w:rsid w:val="00A57DE4"/>
    <w:rsid w:val="00A703EE"/>
    <w:rsid w:val="00AB5F10"/>
    <w:rsid w:val="00AD20EB"/>
    <w:rsid w:val="00AD5B51"/>
    <w:rsid w:val="00B30B42"/>
    <w:rsid w:val="00B67E1D"/>
    <w:rsid w:val="00C910DF"/>
    <w:rsid w:val="00D263AD"/>
    <w:rsid w:val="00D425E8"/>
    <w:rsid w:val="00D86865"/>
    <w:rsid w:val="00E80B46"/>
    <w:rsid w:val="00F16E43"/>
    <w:rsid w:val="00F302EC"/>
    <w:rsid w:val="00F3624A"/>
    <w:rsid w:val="00F8092A"/>
    <w:rsid w:val="00FC5C66"/>
    <w:rsid w:val="00FD21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64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0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0406"/>
    <w:rPr>
      <w:sz w:val="18"/>
      <w:szCs w:val="18"/>
    </w:rPr>
  </w:style>
  <w:style w:type="paragraph" w:styleId="a4">
    <w:name w:val="footer"/>
    <w:basedOn w:val="a"/>
    <w:link w:val="Char0"/>
    <w:uiPriority w:val="99"/>
    <w:unhideWhenUsed/>
    <w:rsid w:val="00440406"/>
    <w:pPr>
      <w:tabs>
        <w:tab w:val="center" w:pos="4153"/>
        <w:tab w:val="right" w:pos="8306"/>
      </w:tabs>
      <w:snapToGrid w:val="0"/>
      <w:jc w:val="left"/>
    </w:pPr>
    <w:rPr>
      <w:sz w:val="18"/>
      <w:szCs w:val="18"/>
    </w:rPr>
  </w:style>
  <w:style w:type="character" w:customStyle="1" w:styleId="Char0">
    <w:name w:val="页脚 Char"/>
    <w:basedOn w:val="a0"/>
    <w:link w:val="a4"/>
    <w:uiPriority w:val="99"/>
    <w:rsid w:val="00440406"/>
    <w:rPr>
      <w:sz w:val="18"/>
      <w:szCs w:val="18"/>
    </w:rPr>
  </w:style>
  <w:style w:type="character" w:styleId="a5">
    <w:name w:val="Hyperlink"/>
    <w:basedOn w:val="a0"/>
    <w:rsid w:val="00644645"/>
    <w:rPr>
      <w:color w:val="0000FF"/>
      <w:u w:val="single"/>
    </w:rPr>
  </w:style>
  <w:style w:type="character" w:styleId="a6">
    <w:name w:val="page number"/>
    <w:basedOn w:val="a0"/>
    <w:rsid w:val="00644645"/>
  </w:style>
  <w:style w:type="paragraph" w:styleId="a7">
    <w:name w:val="No Spacing"/>
    <w:uiPriority w:val="1"/>
    <w:qFormat/>
    <w:rsid w:val="00644645"/>
    <w:pPr>
      <w:widowControl w:val="0"/>
      <w:jc w:val="both"/>
    </w:pPr>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8609621">
      <w:bodyDiv w:val="1"/>
      <w:marLeft w:val="0"/>
      <w:marRight w:val="0"/>
      <w:marTop w:val="0"/>
      <w:marBottom w:val="0"/>
      <w:divBdr>
        <w:top w:val="none" w:sz="0" w:space="0" w:color="auto"/>
        <w:left w:val="none" w:sz="0" w:space="0" w:color="auto"/>
        <w:bottom w:val="none" w:sz="0" w:space="0" w:color="auto"/>
        <w:right w:val="none" w:sz="0" w:space="0" w:color="auto"/>
      </w:divBdr>
      <w:divsChild>
        <w:div w:id="62876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3121135903@qq.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492</Words>
  <Characters>2806</Characters>
  <Application>Microsoft Office Word</Application>
  <DocSecurity>0</DocSecurity>
  <Lines>23</Lines>
  <Paragraphs>6</Paragraphs>
  <ScaleCrop>false</ScaleCrop>
  <Company>china</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peng</cp:lastModifiedBy>
  <cp:revision>3</cp:revision>
  <dcterms:created xsi:type="dcterms:W3CDTF">2017-08-01T07:25:00Z</dcterms:created>
  <dcterms:modified xsi:type="dcterms:W3CDTF">2017-08-01T07:25:00Z</dcterms:modified>
</cp:coreProperties>
</file>