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beforeAutospacing="0" w:after="0" w:afterAutospacing="0" w:line="440" w:lineRule="atLeast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非财务经理的财务管理</w:t>
      </w:r>
    </w:p>
    <w:p>
      <w:pPr>
        <w:rPr>
          <w:rFonts w:ascii="微软雅黑" w:hAnsi="微软雅黑" w:eastAsia="微软雅黑" w:cs="微软雅黑"/>
          <w:b/>
          <w:bCs/>
          <w:color w:val="000000"/>
          <w:szCs w:val="21"/>
        </w:rPr>
      </w:pPr>
      <w:r>
        <w:rPr>
          <w:rFonts w:hint="eastAsia" w:ascii="微软雅黑" w:hAnsi="微软雅黑" w:eastAsia="微软雅黑"/>
          <w:b/>
          <w:color w:val="FF0000"/>
        </w:rPr>
        <w:t>【学习费用】</w:t>
      </w:r>
      <w:r>
        <w:rPr>
          <w:rFonts w:hint="eastAsia" w:ascii="微软雅黑" w:hAnsi="微软雅黑" w:eastAsia="微软雅黑" w:cs="微软雅黑"/>
          <w:b/>
          <w:bCs/>
          <w:color w:val="FF0000"/>
          <w:szCs w:val="21"/>
        </w:rPr>
        <w:t>3600元1人</w:t>
      </w:r>
      <w:r>
        <w:rPr>
          <w:rFonts w:hint="eastAsia" w:ascii="微软雅黑" w:hAnsi="微软雅黑" w:eastAsia="微软雅黑" w:cs="微软雅黑"/>
          <w:b/>
          <w:bCs/>
          <w:color w:val="000000"/>
          <w:szCs w:val="21"/>
        </w:rPr>
        <w:t>（包中餐、茶点、教材、税费）</w:t>
      </w:r>
    </w:p>
    <w:p>
      <w:pPr>
        <w:rPr>
          <w:rFonts w:ascii="微软雅黑" w:hAnsi="微软雅黑" w:eastAsia="微软雅黑"/>
          <w:b/>
          <w:bCs/>
        </w:rPr>
      </w:pPr>
      <w:r>
        <w:rPr>
          <w:rFonts w:hint="eastAsia" w:ascii="微软雅黑" w:hAnsi="微软雅黑" w:eastAsia="微软雅黑"/>
          <w:b/>
          <w:color w:val="C00000"/>
          <w:szCs w:val="21"/>
        </w:rPr>
        <w:t>【联系电话】</w:t>
      </w:r>
      <w:r>
        <w:rPr>
          <w:rFonts w:hint="eastAsia" w:ascii="微软雅黑" w:hAnsi="微软雅黑" w:eastAsia="微软雅黑"/>
          <w:bCs/>
        </w:rPr>
        <w:t>010-62719327   13121135903</w:t>
      </w:r>
      <w:r>
        <w:rPr>
          <w:rFonts w:ascii="微软雅黑" w:hAnsi="微软雅黑" w:eastAsia="微软雅黑"/>
          <w:bCs/>
        </w:rPr>
        <w:t xml:space="preserve">   </w:t>
      </w:r>
      <w:r>
        <w:rPr>
          <w:rFonts w:ascii="微软雅黑" w:hAnsi="微软雅黑" w:eastAsia="微软雅黑"/>
          <w:b/>
          <w:bCs/>
        </w:rPr>
        <w:t xml:space="preserve">    </w:t>
      </w:r>
    </w:p>
    <w:p>
      <w:pPr>
        <w:rPr>
          <w:rFonts w:hint="eastAsia"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color w:val="C00000"/>
          <w:szCs w:val="21"/>
        </w:rPr>
        <w:t>【联</w:t>
      </w:r>
      <w:r>
        <w:rPr>
          <w:rFonts w:ascii="微软雅黑" w:hAnsi="微软雅黑" w:eastAsia="微软雅黑"/>
          <w:b/>
          <w:color w:val="C00000"/>
          <w:szCs w:val="21"/>
        </w:rPr>
        <w:t xml:space="preserve"> </w:t>
      </w:r>
      <w:r>
        <w:rPr>
          <w:rFonts w:hint="eastAsia" w:ascii="微软雅黑" w:hAnsi="微软雅黑" w:eastAsia="微软雅黑"/>
          <w:b/>
          <w:color w:val="C00000"/>
          <w:szCs w:val="21"/>
        </w:rPr>
        <w:t>系</w:t>
      </w:r>
      <w:r>
        <w:rPr>
          <w:rFonts w:ascii="微软雅黑" w:hAnsi="微软雅黑" w:eastAsia="微软雅黑"/>
          <w:b/>
          <w:color w:val="C00000"/>
          <w:szCs w:val="21"/>
        </w:rPr>
        <w:t xml:space="preserve"> </w:t>
      </w:r>
      <w:r>
        <w:rPr>
          <w:rFonts w:hint="eastAsia" w:ascii="微软雅黑" w:hAnsi="微软雅黑" w:eastAsia="微软雅黑"/>
          <w:b/>
          <w:color w:val="C00000"/>
          <w:szCs w:val="21"/>
        </w:rPr>
        <w:t>人】</w:t>
      </w:r>
      <w:r>
        <w:rPr>
          <w:rFonts w:hint="eastAsia" w:ascii="微软雅黑" w:hAnsi="微软雅黑" w:eastAsia="微软雅黑"/>
          <w:b/>
          <w:szCs w:val="21"/>
        </w:rPr>
        <w:t>杜老师</w:t>
      </w:r>
      <w:r>
        <w:rPr>
          <w:rFonts w:hint="eastAsia" w:ascii="微软雅黑" w:hAnsi="微软雅黑" w:eastAsia="微软雅黑"/>
          <w:b/>
          <w:szCs w:val="21"/>
          <w:lang w:val="en-US" w:eastAsia="zh-CN"/>
        </w:rPr>
        <w:t xml:space="preserve"> </w:t>
      </w:r>
      <w:bookmarkStart w:id="0" w:name="_GoBack"/>
      <w:bookmarkEnd w:id="0"/>
    </w:p>
    <w:p>
      <w:pPr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color w:val="C00000"/>
          <w:szCs w:val="21"/>
          <w:lang w:eastAsia="zh-CN"/>
        </w:rPr>
        <w:t>【</w:t>
      </w:r>
      <w:r>
        <w:rPr>
          <w:rFonts w:hint="eastAsia" w:ascii="微软雅黑" w:hAnsi="微软雅黑" w:eastAsia="微软雅黑"/>
          <w:b/>
          <w:color w:val="C00000"/>
          <w:szCs w:val="21"/>
        </w:rPr>
        <w:t>报名邮箱】</w:t>
      </w:r>
      <w:r>
        <w:rPr>
          <w:rFonts w:ascii="微软雅黑" w:hAnsi="微软雅黑" w:eastAsia="微软雅黑"/>
          <w:b/>
          <w:color w:val="C00000"/>
          <w:szCs w:val="21"/>
        </w:rPr>
        <w:t xml:space="preserve"> </w:t>
      </w:r>
      <w:r>
        <w:fldChar w:fldCharType="begin"/>
      </w:r>
      <w:r>
        <w:instrText xml:space="preserve"> HYPERLINK "mailto:13121135903@qq.com" </w:instrText>
      </w:r>
      <w:r>
        <w:fldChar w:fldCharType="separate"/>
      </w:r>
      <w:r>
        <w:rPr>
          <w:rStyle w:val="7"/>
          <w:rFonts w:hint="eastAsia"/>
          <w:b/>
          <w:szCs w:val="21"/>
        </w:rPr>
        <w:t>13121135903</w:t>
      </w:r>
      <w:r>
        <w:rPr>
          <w:rStyle w:val="7"/>
          <w:b/>
          <w:szCs w:val="21"/>
        </w:rPr>
        <w:t>@qq.com</w:t>
      </w:r>
      <w:r>
        <w:rPr>
          <w:rStyle w:val="7"/>
          <w:b/>
          <w:szCs w:val="21"/>
        </w:rPr>
        <w:fldChar w:fldCharType="end"/>
      </w:r>
    </w:p>
    <w:p>
      <w:pPr>
        <w:pStyle w:val="5"/>
        <w:spacing w:before="0" w:beforeAutospacing="0" w:after="0" w:afterAutospacing="0" w:line="440" w:lineRule="atLeast"/>
        <w:rPr>
          <w:b/>
        </w:rPr>
      </w:pPr>
      <w:r>
        <w:rPr>
          <w:b/>
        </w:rPr>
        <w:t>课程背景：</w:t>
      </w:r>
    </w:p>
    <w:p>
      <w:pPr>
        <w:pStyle w:val="5"/>
        <w:spacing w:before="0" w:beforeAutospacing="0" w:after="0" w:afterAutospacing="0" w:line="440" w:lineRule="atLeast"/>
      </w:pPr>
      <w:r>
        <w:t>在企业运营中，各部门管理者由于没有共同沟通语言，导致企业管理效率低，沟通成本高。公司上下没有财务价值观念特别是管理者，只关注营销而忽略了消耗，导致企业销售额上升而利润在下降。“运筹帷幄之中，决胜千里之外。”企业要想基业长青，必须管理好现在及未来。财务数据分析可以将企业的各项经营活动按照一定的标准进行评价。因此一名优秀的管理者，不仅要有出色的业务能力，还需要具备一定的财务管理能力。利用财务分析工具让你的决策更合理、更经得起挑战。让你掌握企业运营的核心，轻松驾驭更高、更大的企业平台!</w:t>
      </w:r>
    </w:p>
    <w:p>
      <w:pPr>
        <w:pStyle w:val="5"/>
        <w:spacing w:before="0" w:beforeAutospacing="0" w:after="0" w:afterAutospacing="0" w:line="440" w:lineRule="atLeast"/>
      </w:pPr>
      <w:r>
        <w:t>资深企业财务管理实战讲师为您解除烦恼。您不需要学习复杂的财务理论，您也不需要计算烦琐的财务指标，但是，您一定可以学会“财务”如何为我所用，轻松掌握“财务”这个有效实用的管理思想，透视经营运作、提升管理绩效、为企业创造价值。</w:t>
      </w:r>
    </w:p>
    <w:p>
      <w:pPr>
        <w:pStyle w:val="5"/>
        <w:spacing w:before="0" w:beforeAutospacing="0" w:after="0" w:afterAutospacing="0" w:line="440" w:lineRule="atLeast"/>
      </w:pPr>
    </w:p>
    <w:p>
      <w:pPr>
        <w:pStyle w:val="5"/>
        <w:spacing w:before="0" w:beforeAutospacing="0" w:after="0" w:afterAutospacing="0" w:line="440" w:lineRule="atLeast"/>
        <w:rPr>
          <w:b/>
        </w:rPr>
      </w:pPr>
      <w:r>
        <w:rPr>
          <w:b/>
        </w:rPr>
        <w:t>课程收益：</w:t>
      </w:r>
    </w:p>
    <w:p>
      <w:pPr>
        <w:pStyle w:val="5"/>
        <w:spacing w:before="0" w:beforeAutospacing="0" w:after="0" w:afterAutospacing="0" w:line="440" w:lineRule="atLeast"/>
      </w:pPr>
      <w:r>
        <w:t>通过高效的培训方法，使参加者能够全面理解财务管理、建立共同的沟通语言、成本控制意识，运用预算管理将企业战略有效落地执行。同时，也将改变财务在管理者心中单纯事后算帐的思想，体会财务管理的作用和乐趣。具体培训收益可以主要概括为以下几点：</w:t>
      </w:r>
    </w:p>
    <w:p>
      <w:pPr>
        <w:pStyle w:val="5"/>
        <w:spacing w:before="0" w:beforeAutospacing="0" w:after="0" w:afterAutospacing="0" w:line="440" w:lineRule="atLeast"/>
      </w:pPr>
      <w:r>
        <w:t>1.建立各部门管理者共同的沟通语言——财务语言</w:t>
      </w:r>
      <w:r>
        <w:rPr>
          <w:rFonts w:hint="eastAsia"/>
        </w:rPr>
        <w:t>；</w:t>
      </w:r>
    </w:p>
    <w:p>
      <w:pPr>
        <w:pStyle w:val="5"/>
        <w:spacing w:before="0" w:beforeAutospacing="0" w:after="0" w:afterAutospacing="0" w:line="440" w:lineRule="atLeast"/>
      </w:pPr>
      <w:r>
        <w:t>2.解读企业三大财务报表</w:t>
      </w:r>
      <w:r>
        <w:rPr>
          <w:rFonts w:hint="eastAsia"/>
        </w:rPr>
        <w:t>；</w:t>
      </w:r>
    </w:p>
    <w:p>
      <w:pPr>
        <w:pStyle w:val="5"/>
        <w:spacing w:before="0" w:beforeAutospacing="0" w:after="0" w:afterAutospacing="0" w:line="440" w:lineRule="atLeast"/>
      </w:pPr>
      <w:r>
        <w:t>3.掌握财务数据分析，发现企业存在的问题</w:t>
      </w:r>
      <w:r>
        <w:rPr>
          <w:rFonts w:hint="eastAsia"/>
        </w:rPr>
        <w:t>；</w:t>
      </w:r>
    </w:p>
    <w:p>
      <w:pPr>
        <w:pStyle w:val="5"/>
        <w:spacing w:before="0" w:beforeAutospacing="0" w:after="0" w:afterAutospacing="0" w:line="440" w:lineRule="atLeast"/>
      </w:pPr>
      <w:r>
        <w:t>4.掌握推动企业业绩成长关键因素分析</w:t>
      </w:r>
      <w:r>
        <w:rPr>
          <w:rFonts w:hint="eastAsia"/>
        </w:rPr>
        <w:t>；</w:t>
      </w:r>
    </w:p>
    <w:p>
      <w:pPr>
        <w:pStyle w:val="5"/>
        <w:spacing w:before="0" w:beforeAutospacing="0" w:after="0" w:afterAutospacing="0" w:line="440" w:lineRule="atLeast"/>
      </w:pPr>
      <w:r>
        <w:t>5.利用现代考核指标，建立全员成本控制意识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440" w:lineRule="atLeast"/>
      </w:pPr>
    </w:p>
    <w:p>
      <w:pPr>
        <w:pStyle w:val="5"/>
        <w:spacing w:before="0" w:beforeAutospacing="0" w:after="0" w:afterAutospacing="0" w:line="440" w:lineRule="atLeast"/>
      </w:pPr>
      <w:r>
        <w:rPr>
          <w:b/>
        </w:rPr>
        <w:t>课程时间：</w:t>
      </w:r>
      <w:r>
        <w:t>2天，6小时/天</w:t>
      </w:r>
    </w:p>
    <w:p>
      <w:pPr>
        <w:pStyle w:val="5"/>
        <w:spacing w:before="0" w:beforeAutospacing="0" w:after="0" w:afterAutospacing="0" w:line="440" w:lineRule="atLeast"/>
      </w:pPr>
      <w:r>
        <w:rPr>
          <w:b/>
        </w:rPr>
        <w:t>授课对象：</w:t>
      </w:r>
      <w:r>
        <w:t>企业总经理、副总经理、企业中、高层非财务管理人员和骨干</w:t>
      </w:r>
    </w:p>
    <w:p>
      <w:pPr>
        <w:pStyle w:val="5"/>
        <w:spacing w:before="0" w:beforeAutospacing="0" w:after="0" w:afterAutospacing="0" w:line="440" w:lineRule="atLeast"/>
      </w:pPr>
      <w:r>
        <w:rPr>
          <w:b/>
        </w:rPr>
        <w:t>授课方式：</w:t>
      </w:r>
      <w:r>
        <w:t>讲师讲授 + 数据分析+ 案例研讨 +讲师点评 + 现场咨询与辅导</w:t>
      </w:r>
    </w:p>
    <w:p>
      <w:pPr>
        <w:pStyle w:val="5"/>
        <w:spacing w:before="0" w:beforeAutospacing="0" w:after="0" w:afterAutospacing="0" w:line="440" w:lineRule="atLeast"/>
        <w:rPr>
          <w:b/>
        </w:rPr>
      </w:pPr>
      <w:r>
        <w:rPr>
          <w:b/>
        </w:rPr>
        <w:t>课程大纲：</w:t>
      </w:r>
    </w:p>
    <w:p>
      <w:pPr>
        <w:pStyle w:val="5"/>
        <w:spacing w:before="0" w:beforeAutospacing="0" w:after="0" w:afterAutospacing="0" w:line="440" w:lineRule="atLeast"/>
        <w:rPr>
          <w:b/>
        </w:rPr>
      </w:pPr>
      <w:r>
        <w:rPr>
          <w:b/>
        </w:rPr>
        <w:t>第一讲：从财务的角度看企业的经营</w:t>
      </w:r>
    </w:p>
    <w:p>
      <w:pPr>
        <w:pStyle w:val="5"/>
        <w:spacing w:before="0" w:beforeAutospacing="0" w:after="0" w:afterAutospacing="0" w:line="440" w:lineRule="atLeast"/>
      </w:pPr>
      <w:r>
        <w:t>1.企业经营管理存在问题分析</w:t>
      </w:r>
    </w:p>
    <w:p>
      <w:pPr>
        <w:pStyle w:val="5"/>
        <w:spacing w:before="0" w:beforeAutospacing="0" w:after="0" w:afterAutospacing="0" w:line="440" w:lineRule="atLeast"/>
      </w:pPr>
      <w:r>
        <w:t>2.从财务角度来看企业经营的循环</w:t>
      </w:r>
    </w:p>
    <w:p>
      <w:pPr>
        <w:pStyle w:val="5"/>
        <w:spacing w:before="0" w:beforeAutospacing="0" w:after="0" w:afterAutospacing="0" w:line="440" w:lineRule="atLeast"/>
      </w:pPr>
      <w:r>
        <w:t>3.资产、营业额、利润、现金四大因素之间的关系?</w:t>
      </w:r>
    </w:p>
    <w:p>
      <w:pPr>
        <w:pStyle w:val="5"/>
        <w:spacing w:before="0" w:beforeAutospacing="0" w:after="0" w:afterAutospacing="0" w:line="440" w:lineRule="atLeast"/>
      </w:pPr>
      <w:r>
        <w:t>4.企业管理者应当熟悉的财务管理基本原则</w:t>
      </w:r>
    </w:p>
    <w:p>
      <w:pPr>
        <w:pStyle w:val="5"/>
        <w:spacing w:before="0" w:beforeAutospacing="0" w:after="0" w:afterAutospacing="0" w:line="440" w:lineRule="atLeast"/>
      </w:pPr>
      <w:r>
        <w:t>5.财务管理的一个目标三大要素</w:t>
      </w:r>
    </w:p>
    <w:p>
      <w:pPr>
        <w:pStyle w:val="5"/>
        <w:spacing w:before="0" w:beforeAutospacing="0" w:after="0" w:afterAutospacing="0" w:line="440" w:lineRule="atLeast"/>
      </w:pPr>
      <w:r>
        <w:t>6.建立以财务为导向的管理语言</w:t>
      </w:r>
    </w:p>
    <w:p>
      <w:pPr>
        <w:pStyle w:val="5"/>
        <w:spacing w:before="0" w:beforeAutospacing="0" w:after="0" w:afterAutospacing="0" w:line="440" w:lineRule="atLeast"/>
      </w:pPr>
      <w:r>
        <w:t>7.企业经营管理了解的途径</w:t>
      </w:r>
    </w:p>
    <w:p>
      <w:pPr>
        <w:pStyle w:val="5"/>
        <w:spacing w:before="0" w:beforeAutospacing="0" w:after="0" w:afterAutospacing="0" w:line="440" w:lineRule="atLeast"/>
      </w:pPr>
      <w:r>
        <w:t>8.企业财务报表的基本分析方法</w:t>
      </w:r>
    </w:p>
    <w:p>
      <w:pPr>
        <w:pStyle w:val="5"/>
        <w:spacing w:before="0" w:beforeAutospacing="0" w:after="0" w:afterAutospacing="0" w:line="440" w:lineRule="atLeast"/>
      </w:pPr>
      <w:r>
        <w:t>案例分析：</w:t>
      </w:r>
    </w:p>
    <w:p>
      <w:pPr>
        <w:pStyle w:val="5"/>
        <w:spacing w:before="0" w:beforeAutospacing="0" w:after="0" w:afterAutospacing="0" w:line="440" w:lineRule="atLeast"/>
      </w:pPr>
    </w:p>
    <w:p>
      <w:pPr>
        <w:pStyle w:val="5"/>
        <w:spacing w:before="0" w:beforeAutospacing="0" w:after="0" w:afterAutospacing="0" w:line="440" w:lineRule="atLeast"/>
        <w:rPr>
          <w:b/>
        </w:rPr>
      </w:pPr>
      <w:r>
        <w:rPr>
          <w:b/>
        </w:rPr>
        <w:t>第二讲：如何用财务的数据来发现企业管理的问题</w:t>
      </w:r>
    </w:p>
    <w:p>
      <w:pPr>
        <w:pStyle w:val="5"/>
        <w:spacing w:before="0" w:beforeAutospacing="0" w:after="0" w:afterAutospacing="0" w:line="440" w:lineRule="atLeast"/>
      </w:pPr>
      <w:r>
        <w:rPr>
          <w:rFonts w:hint="eastAsia"/>
        </w:rPr>
        <w:t>一、</w:t>
      </w:r>
      <w:r>
        <w:t>如何从资产负债表的角度分析企业发展的基础</w:t>
      </w:r>
    </w:p>
    <w:p>
      <w:pPr>
        <w:pStyle w:val="5"/>
        <w:spacing w:before="0" w:beforeAutospacing="0" w:after="0" w:afterAutospacing="0" w:line="440" w:lineRule="atLeast"/>
      </w:pPr>
      <w:r>
        <w:t>1.如何整体把握企业的财务结构。</w:t>
      </w:r>
    </w:p>
    <w:p>
      <w:pPr>
        <w:pStyle w:val="5"/>
        <w:spacing w:before="0" w:beforeAutospacing="0" w:after="0" w:afterAutospacing="0" w:line="440" w:lineRule="atLeast"/>
      </w:pPr>
      <w:r>
        <w:t>2.企业资产内部结构分析</w:t>
      </w:r>
    </w:p>
    <w:p>
      <w:pPr>
        <w:pStyle w:val="5"/>
        <w:spacing w:before="0" w:beforeAutospacing="0" w:after="0" w:afterAutospacing="0" w:line="440" w:lineRule="atLeast"/>
      </w:pPr>
      <w:r>
        <w:t>1) 长期资产与流动资产结构对企业经营影响分析</w:t>
      </w:r>
    </w:p>
    <w:p>
      <w:pPr>
        <w:pStyle w:val="5"/>
        <w:spacing w:before="0" w:beforeAutospacing="0" w:after="0" w:afterAutospacing="0" w:line="440" w:lineRule="atLeast"/>
      </w:pPr>
      <w:r>
        <w:t>2) 流动资产内部分析与企业经营管理分析</w:t>
      </w:r>
    </w:p>
    <w:p>
      <w:pPr>
        <w:pStyle w:val="5"/>
        <w:spacing w:before="0" w:beforeAutospacing="0" w:after="0" w:afterAutospacing="0" w:line="440" w:lineRule="atLeast"/>
      </w:pPr>
      <w:r>
        <w:t>3) 企业资金管理分析</w:t>
      </w:r>
    </w:p>
    <w:p>
      <w:pPr>
        <w:pStyle w:val="5"/>
        <w:spacing w:before="0" w:beforeAutospacing="0" w:after="0" w:afterAutospacing="0" w:line="440" w:lineRule="atLeast"/>
      </w:pPr>
      <w:r>
        <w:t>4)应收账款与企业经营决策分析</w:t>
      </w:r>
    </w:p>
    <w:p>
      <w:pPr>
        <w:pStyle w:val="5"/>
        <w:spacing w:before="0" w:beforeAutospacing="0" w:after="0" w:afterAutospacing="0" w:line="440" w:lineRule="atLeast"/>
      </w:pPr>
      <w:r>
        <w:t>5) 应收账款信用管理监控措施</w:t>
      </w:r>
    </w:p>
    <w:p>
      <w:pPr>
        <w:pStyle w:val="5"/>
        <w:spacing w:before="0" w:beforeAutospacing="0" w:after="0" w:afterAutospacing="0" w:line="440" w:lineRule="atLeast"/>
      </w:pPr>
      <w:r>
        <w:t>6) 存货与企业经营决策分析</w:t>
      </w:r>
    </w:p>
    <w:p>
      <w:pPr>
        <w:pStyle w:val="5"/>
        <w:spacing w:before="0" w:beforeAutospacing="0" w:after="0" w:afterAutospacing="0" w:line="440" w:lineRule="atLeast"/>
      </w:pPr>
      <w:r>
        <w:t>3.企业偿债能力分析</w:t>
      </w:r>
    </w:p>
    <w:p>
      <w:pPr>
        <w:pStyle w:val="5"/>
        <w:spacing w:before="0" w:beforeAutospacing="0" w:after="0" w:afterAutospacing="0" w:line="440" w:lineRule="atLeast"/>
      </w:pPr>
      <w:r>
        <w:t>4.企业资产负债表不正常的四个现象</w:t>
      </w:r>
    </w:p>
    <w:p>
      <w:pPr>
        <w:pStyle w:val="5"/>
        <w:spacing w:before="0" w:beforeAutospacing="0" w:after="0" w:afterAutospacing="0" w:line="440" w:lineRule="atLeast"/>
      </w:pPr>
      <w:r>
        <w:t>5.企业资产流动性与风险评估</w:t>
      </w:r>
    </w:p>
    <w:p>
      <w:pPr>
        <w:pStyle w:val="5"/>
        <w:spacing w:before="0" w:beforeAutospacing="0" w:after="0" w:afterAutospacing="0" w:line="440" w:lineRule="atLeast"/>
      </w:pPr>
      <w:r>
        <w:t>6.掌控企业营运资金提高企业经营效率</w:t>
      </w:r>
    </w:p>
    <w:p>
      <w:pPr>
        <w:pStyle w:val="5"/>
        <w:spacing w:before="0" w:beforeAutospacing="0" w:after="0" w:afterAutospacing="0" w:line="440" w:lineRule="atLeast"/>
      </w:pPr>
      <w:r>
        <w:t>1) 分析企业现金循环周期及如何提升</w:t>
      </w:r>
    </w:p>
    <w:p>
      <w:pPr>
        <w:pStyle w:val="5"/>
        <w:spacing w:before="0" w:beforeAutospacing="0" w:after="0" w:afterAutospacing="0" w:line="440" w:lineRule="atLeast"/>
      </w:pPr>
      <w:r>
        <w:t>2) 企业高速增长对企业流动资金的影响</w:t>
      </w:r>
    </w:p>
    <w:p>
      <w:pPr>
        <w:pStyle w:val="5"/>
        <w:spacing w:before="0" w:beforeAutospacing="0" w:after="0" w:afterAutospacing="0" w:line="440" w:lineRule="atLeast"/>
      </w:pPr>
      <w:r>
        <w:t>3) 企业过度扩张带来哪些流动性风险</w:t>
      </w:r>
    </w:p>
    <w:p>
      <w:pPr>
        <w:pStyle w:val="5"/>
        <w:spacing w:before="0" w:beforeAutospacing="0" w:after="0" w:afterAutospacing="0" w:line="440" w:lineRule="atLeast"/>
      </w:pPr>
      <w:r>
        <w:t>7.提高企业效益的途径</w:t>
      </w:r>
    </w:p>
    <w:p>
      <w:pPr>
        <w:pStyle w:val="5"/>
        <w:spacing w:before="0" w:beforeAutospacing="0" w:after="0" w:afterAutospacing="0" w:line="440" w:lineRule="atLeast"/>
      </w:pPr>
      <w:r>
        <w:t>8.资产负债表分析小结</w:t>
      </w:r>
    </w:p>
    <w:p>
      <w:pPr>
        <w:pStyle w:val="5"/>
        <w:spacing w:before="0" w:beforeAutospacing="0" w:after="0" w:afterAutospacing="0" w:line="440" w:lineRule="atLeast"/>
      </w:pPr>
      <w:r>
        <w:t>案例分析+现场案例演练</w:t>
      </w:r>
    </w:p>
    <w:p>
      <w:pPr>
        <w:pStyle w:val="5"/>
        <w:spacing w:before="0" w:beforeAutospacing="0" w:after="0" w:afterAutospacing="0" w:line="440" w:lineRule="atLeast"/>
      </w:pPr>
      <w:r>
        <w:rPr>
          <w:rFonts w:hint="eastAsia"/>
        </w:rPr>
        <w:t>二、</w:t>
      </w:r>
      <w:r>
        <w:t>如何从利润表的角度来评价企业经营的成绩单</w:t>
      </w:r>
    </w:p>
    <w:p>
      <w:pPr>
        <w:pStyle w:val="5"/>
        <w:spacing w:before="0" w:beforeAutospacing="0" w:after="0" w:afterAutospacing="0" w:line="440" w:lineRule="atLeast"/>
      </w:pPr>
      <w:r>
        <w:t>1.企业传统的利润表分析存在的局限性</w:t>
      </w:r>
    </w:p>
    <w:p>
      <w:pPr>
        <w:pStyle w:val="5"/>
        <w:spacing w:before="0" w:beforeAutospacing="0" w:after="0" w:afterAutospacing="0" w:line="440" w:lineRule="atLeast"/>
      </w:pPr>
      <w:r>
        <w:t>2.企业利润表基本阅读方法</w:t>
      </w:r>
    </w:p>
    <w:p>
      <w:pPr>
        <w:pStyle w:val="5"/>
        <w:spacing w:before="0" w:beforeAutospacing="0" w:after="0" w:afterAutospacing="0" w:line="440" w:lineRule="atLeast"/>
      </w:pPr>
      <w:r>
        <w:t>1) 企业利润总体观察</w:t>
      </w:r>
    </w:p>
    <w:p>
      <w:pPr>
        <w:pStyle w:val="5"/>
        <w:spacing w:before="0" w:beforeAutospacing="0" w:after="0" w:afterAutospacing="0" w:line="440" w:lineRule="atLeast"/>
      </w:pPr>
      <w:r>
        <w:t>2) 利润表项目具体分析</w:t>
      </w:r>
    </w:p>
    <w:p>
      <w:pPr>
        <w:pStyle w:val="5"/>
        <w:spacing w:before="0" w:beforeAutospacing="0" w:after="0" w:afterAutospacing="0" w:line="440" w:lineRule="atLeast"/>
      </w:pPr>
      <w:r>
        <w:t>3.利润表中四大利润解读及案例分析</w:t>
      </w:r>
    </w:p>
    <w:p>
      <w:pPr>
        <w:pStyle w:val="5"/>
        <w:spacing w:before="0" w:beforeAutospacing="0" w:after="0" w:afterAutospacing="0" w:line="440" w:lineRule="atLeast"/>
      </w:pPr>
      <w:r>
        <w:t>4.如何管理企业利润</w:t>
      </w:r>
    </w:p>
    <w:p>
      <w:pPr>
        <w:pStyle w:val="5"/>
        <w:spacing w:before="0" w:beforeAutospacing="0" w:after="0" w:afterAutospacing="0" w:line="440" w:lineRule="atLeast"/>
      </w:pPr>
      <w:r>
        <w:t>1) 企业成本费用与利润之间的关系</w:t>
      </w:r>
    </w:p>
    <w:p>
      <w:pPr>
        <w:pStyle w:val="5"/>
        <w:spacing w:before="0" w:beforeAutospacing="0" w:after="0" w:afterAutospacing="0" w:line="440" w:lineRule="atLeast"/>
      </w:pPr>
      <w:r>
        <w:t>2) 企业固定成本与变动成本对企业利润的影响</w:t>
      </w:r>
    </w:p>
    <w:p>
      <w:pPr>
        <w:pStyle w:val="5"/>
        <w:spacing w:before="0" w:beforeAutospacing="0" w:after="0" w:afterAutospacing="0" w:line="440" w:lineRule="atLeast"/>
      </w:pPr>
      <w:r>
        <w:t>3) 如何分析企业盈亏平衡点及企业目标成本的制定</w:t>
      </w:r>
    </w:p>
    <w:p>
      <w:pPr>
        <w:pStyle w:val="5"/>
        <w:spacing w:before="0" w:beforeAutospacing="0" w:after="0" w:afterAutospacing="0" w:line="440" w:lineRule="atLeast"/>
      </w:pPr>
      <w:r>
        <w:t>4)如何分析企业的经营风险</w:t>
      </w:r>
    </w:p>
    <w:p>
      <w:pPr>
        <w:pStyle w:val="5"/>
        <w:spacing w:before="0" w:beforeAutospacing="0" w:after="0" w:afterAutospacing="0" w:line="440" w:lineRule="atLeast"/>
      </w:pPr>
      <w:r>
        <w:t>5) 如何利用经营杠杆系数帮助管理者评价及决策</w:t>
      </w:r>
    </w:p>
    <w:p>
      <w:pPr>
        <w:pStyle w:val="5"/>
        <w:spacing w:before="0" w:beforeAutospacing="0" w:after="0" w:afterAutospacing="0" w:line="440" w:lineRule="atLeast"/>
      </w:pPr>
      <w:r>
        <w:t>6) 如何通过贡献毛益帮助管理者定价决策</w:t>
      </w:r>
    </w:p>
    <w:p>
      <w:pPr>
        <w:pStyle w:val="5"/>
        <w:spacing w:before="0" w:beforeAutospacing="0" w:after="0" w:afterAutospacing="0" w:line="440" w:lineRule="atLeast"/>
      </w:pPr>
      <w:r>
        <w:t>7) 如何设计管理用利润表</w:t>
      </w:r>
    </w:p>
    <w:p>
      <w:pPr>
        <w:pStyle w:val="5"/>
        <w:spacing w:before="0" w:beforeAutospacing="0" w:after="0" w:afterAutospacing="0" w:line="440" w:lineRule="atLeast"/>
      </w:pPr>
      <w:r>
        <w:t>5.借助财务比率透视企业经营成果</w:t>
      </w:r>
    </w:p>
    <w:p>
      <w:pPr>
        <w:pStyle w:val="5"/>
        <w:spacing w:before="0" w:beforeAutospacing="0" w:after="0" w:afterAutospacing="0" w:line="440" w:lineRule="atLeast"/>
      </w:pPr>
      <w:r>
        <w:t>6.如何分析企业运营效率</w:t>
      </w:r>
    </w:p>
    <w:p>
      <w:pPr>
        <w:pStyle w:val="5"/>
        <w:spacing w:before="0" w:beforeAutospacing="0" w:after="0" w:afterAutospacing="0" w:line="440" w:lineRule="atLeast"/>
      </w:pPr>
      <w:r>
        <w:t>7.利润表的作用及衡量企业价值的分析</w:t>
      </w:r>
    </w:p>
    <w:p>
      <w:pPr>
        <w:pStyle w:val="5"/>
        <w:spacing w:before="0" w:beforeAutospacing="0" w:after="0" w:afterAutospacing="0" w:line="440" w:lineRule="atLeast"/>
      </w:pPr>
      <w:r>
        <w:t>8.利润表的影响因素</w:t>
      </w:r>
    </w:p>
    <w:p>
      <w:pPr>
        <w:pStyle w:val="5"/>
        <w:spacing w:before="0" w:beforeAutospacing="0" w:after="0" w:afterAutospacing="0" w:line="440" w:lineRule="atLeast"/>
      </w:pPr>
      <w:r>
        <w:rPr>
          <w:rFonts w:hint="eastAsia"/>
        </w:rPr>
        <w:t>三、</w:t>
      </w:r>
      <w:r>
        <w:t>从现金流量表的角度来衡量企业生存的保障</w:t>
      </w:r>
    </w:p>
    <w:p>
      <w:pPr>
        <w:pStyle w:val="5"/>
        <w:spacing w:before="0" w:beforeAutospacing="0" w:after="0" w:afterAutospacing="0" w:line="440" w:lineRule="atLeast"/>
      </w:pPr>
      <w:r>
        <w:t>1.现金流量与企业经营的关系</w:t>
      </w:r>
    </w:p>
    <w:p>
      <w:pPr>
        <w:pStyle w:val="5"/>
        <w:spacing w:before="0" w:beforeAutospacing="0" w:after="0" w:afterAutospacing="0" w:line="440" w:lineRule="atLeast"/>
      </w:pPr>
      <w:r>
        <w:t>2.现金流量表构成要素及结构原理</w:t>
      </w:r>
    </w:p>
    <w:p>
      <w:pPr>
        <w:pStyle w:val="5"/>
        <w:spacing w:before="0" w:beforeAutospacing="0" w:after="0" w:afterAutospacing="0" w:line="440" w:lineRule="atLeast"/>
      </w:pPr>
      <w:r>
        <w:t>3.经营现金流量分析——企业造血能力</w:t>
      </w:r>
    </w:p>
    <w:p>
      <w:pPr>
        <w:pStyle w:val="5"/>
        <w:spacing w:before="0" w:beforeAutospacing="0" w:after="0" w:afterAutospacing="0" w:line="440" w:lineRule="atLeast"/>
      </w:pPr>
      <w:r>
        <w:t>4.经营现金流量利润矩阵分析</w:t>
      </w:r>
    </w:p>
    <w:p>
      <w:pPr>
        <w:pStyle w:val="5"/>
        <w:spacing w:before="0" w:beforeAutospacing="0" w:after="0" w:afterAutospacing="0" w:line="440" w:lineRule="atLeast"/>
      </w:pPr>
      <w:r>
        <w:t>5.投资现金流量分析——谨慎投资，把握时机</w:t>
      </w:r>
    </w:p>
    <w:p>
      <w:pPr>
        <w:pStyle w:val="5"/>
        <w:spacing w:before="0" w:beforeAutospacing="0" w:after="0" w:afterAutospacing="0" w:line="440" w:lineRule="atLeast"/>
      </w:pPr>
      <w:r>
        <w:t>6.筹资现金流量分析——有借有还，信用管理</w:t>
      </w:r>
    </w:p>
    <w:p>
      <w:pPr>
        <w:pStyle w:val="5"/>
        <w:spacing w:before="0" w:beforeAutospacing="0" w:after="0" w:afterAutospacing="0" w:line="440" w:lineRule="atLeast"/>
      </w:pPr>
      <w:r>
        <w:t>7.现金流量结构分析</w:t>
      </w:r>
    </w:p>
    <w:p>
      <w:pPr>
        <w:pStyle w:val="5"/>
        <w:spacing w:before="0" w:beforeAutospacing="0" w:after="0" w:afterAutospacing="0" w:line="440" w:lineRule="atLeast"/>
      </w:pPr>
      <w:r>
        <w:t>8.不同阶段现金流量分析</w:t>
      </w:r>
    </w:p>
    <w:p>
      <w:pPr>
        <w:pStyle w:val="5"/>
        <w:spacing w:before="0" w:beforeAutospacing="0" w:after="0" w:afterAutospacing="0" w:line="440" w:lineRule="atLeast"/>
      </w:pPr>
      <w:r>
        <w:t>9、企业资产获取现金的能力分析</w:t>
      </w:r>
    </w:p>
    <w:p>
      <w:pPr>
        <w:pStyle w:val="5"/>
        <w:spacing w:before="0" w:beforeAutospacing="0" w:after="0" w:afterAutospacing="0" w:line="440" w:lineRule="atLeast"/>
      </w:pPr>
      <w:r>
        <w:t>10、 企业现金偿债能力分析</w:t>
      </w:r>
    </w:p>
    <w:p>
      <w:pPr>
        <w:pStyle w:val="5"/>
        <w:spacing w:before="0" w:beforeAutospacing="0" w:after="0" w:afterAutospacing="0" w:line="440" w:lineRule="atLeast"/>
      </w:pPr>
      <w:r>
        <w:rPr>
          <w:rFonts w:hint="eastAsia"/>
        </w:rPr>
        <w:t>四、</w:t>
      </w:r>
      <w:r>
        <w:t>从三大报表来衡量企业利润的质量</w:t>
      </w:r>
    </w:p>
    <w:p>
      <w:pPr>
        <w:pStyle w:val="5"/>
        <w:spacing w:before="0" w:beforeAutospacing="0" w:after="0" w:afterAutospacing="0" w:line="440" w:lineRule="atLeast"/>
      </w:pPr>
      <w:r>
        <w:t>1.企业利润稳定性分析</w:t>
      </w:r>
    </w:p>
    <w:p>
      <w:pPr>
        <w:pStyle w:val="5"/>
        <w:spacing w:before="0" w:beforeAutospacing="0" w:after="0" w:afterAutospacing="0" w:line="440" w:lineRule="atLeast"/>
      </w:pPr>
      <w:r>
        <w:t>2.如何有效评估企业的销售质量?</w:t>
      </w:r>
    </w:p>
    <w:p>
      <w:pPr>
        <w:pStyle w:val="5"/>
        <w:spacing w:before="0" w:beforeAutospacing="0" w:after="0" w:afterAutospacing="0" w:line="440" w:lineRule="atLeast"/>
      </w:pPr>
      <w:r>
        <w:t>3.如何有效评估企业的利润质量?</w:t>
      </w:r>
    </w:p>
    <w:p>
      <w:pPr>
        <w:pStyle w:val="5"/>
        <w:spacing w:before="0" w:beforeAutospacing="0" w:after="0" w:afterAutospacing="0" w:line="440" w:lineRule="atLeast"/>
      </w:pPr>
      <w:r>
        <w:t>案例分析：某公司神话的破灭</w:t>
      </w:r>
    </w:p>
    <w:p>
      <w:pPr>
        <w:pStyle w:val="5"/>
        <w:spacing w:before="0" w:beforeAutospacing="0" w:after="0" w:afterAutospacing="0" w:line="440" w:lineRule="atLeast"/>
      </w:pPr>
      <w:r>
        <w:rPr>
          <w:rFonts w:hint="eastAsia"/>
        </w:rPr>
        <w:t>五、</w:t>
      </w:r>
      <w:r>
        <w:t>如何企业发展能力</w:t>
      </w:r>
    </w:p>
    <w:p>
      <w:pPr>
        <w:pStyle w:val="5"/>
        <w:spacing w:before="0" w:beforeAutospacing="0" w:after="0" w:afterAutospacing="0" w:line="440" w:lineRule="atLeast"/>
      </w:pPr>
      <w:r>
        <w:t>1.企业资产增长率分析</w:t>
      </w:r>
    </w:p>
    <w:p>
      <w:pPr>
        <w:pStyle w:val="5"/>
        <w:spacing w:before="0" w:beforeAutospacing="0" w:after="0" w:afterAutospacing="0" w:line="440" w:lineRule="atLeast"/>
      </w:pPr>
      <w:r>
        <w:t>2.企业营业收入增长分析</w:t>
      </w:r>
    </w:p>
    <w:p>
      <w:pPr>
        <w:pStyle w:val="5"/>
        <w:spacing w:before="0" w:beforeAutospacing="0" w:after="0" w:afterAutospacing="0" w:line="440" w:lineRule="atLeast"/>
      </w:pPr>
      <w:r>
        <w:t>3.企业的收益增长分析</w:t>
      </w:r>
    </w:p>
    <w:p>
      <w:pPr>
        <w:pStyle w:val="5"/>
        <w:spacing w:before="0" w:beforeAutospacing="0" w:after="0" w:afterAutospacing="0" w:line="440" w:lineRule="atLeast"/>
      </w:pPr>
      <w:r>
        <w:t>4.企业股东权益增长分析</w:t>
      </w:r>
    </w:p>
    <w:p>
      <w:pPr>
        <w:pStyle w:val="5"/>
        <w:spacing w:before="0" w:beforeAutospacing="0" w:after="0" w:afterAutospacing="0" w:line="440" w:lineRule="atLeast"/>
      </w:pPr>
    </w:p>
    <w:p>
      <w:pPr>
        <w:pStyle w:val="5"/>
        <w:spacing w:before="0" w:beforeAutospacing="0" w:after="0" w:afterAutospacing="0" w:line="440" w:lineRule="atLeast"/>
        <w:rPr>
          <w:b/>
        </w:rPr>
      </w:pPr>
      <w:r>
        <w:rPr>
          <w:b/>
        </w:rPr>
        <w:t>第三讲：提升股东投资回报率的途径</w:t>
      </w:r>
    </w:p>
    <w:p>
      <w:pPr>
        <w:pStyle w:val="5"/>
        <w:spacing w:before="0" w:beforeAutospacing="0" w:after="0" w:afterAutospacing="0" w:line="440" w:lineRule="atLeast"/>
      </w:pPr>
      <w:r>
        <w:t>1.把握撬动企业业绩的方向盘</w:t>
      </w:r>
    </w:p>
    <w:p>
      <w:pPr>
        <w:pStyle w:val="5"/>
        <w:spacing w:before="0" w:beforeAutospacing="0" w:after="0" w:afterAutospacing="0" w:line="440" w:lineRule="atLeast"/>
      </w:pPr>
      <w:r>
        <w:t>2.利润三大杠杆提升股东回报率</w:t>
      </w:r>
    </w:p>
    <w:p>
      <w:pPr>
        <w:pStyle w:val="5"/>
        <w:spacing w:before="0" w:beforeAutospacing="0" w:after="0" w:afterAutospacing="0" w:line="440" w:lineRule="atLeast"/>
      </w:pPr>
      <w:r>
        <w:t>3.杜邦分析法在利润管理中应用</w:t>
      </w:r>
    </w:p>
    <w:p>
      <w:pPr>
        <w:pStyle w:val="5"/>
        <w:spacing w:before="0" w:beforeAutospacing="0" w:after="0" w:afterAutospacing="0" w:line="440" w:lineRule="atLeast"/>
      </w:pPr>
      <w:r>
        <w:t>4.打破职能，强化结果</w:t>
      </w:r>
    </w:p>
    <w:p>
      <w:pPr>
        <w:pStyle w:val="5"/>
        <w:spacing w:before="0" w:beforeAutospacing="0" w:after="0" w:afterAutospacing="0" w:line="440" w:lineRule="atLeast"/>
      </w:pPr>
    </w:p>
    <w:p>
      <w:pPr>
        <w:pStyle w:val="5"/>
        <w:spacing w:before="0" w:beforeAutospacing="0" w:after="0" w:afterAutospacing="0" w:line="440" w:lineRule="atLeast"/>
        <w:rPr>
          <w:b/>
        </w:rPr>
      </w:pPr>
      <w:r>
        <w:rPr>
          <w:b/>
        </w:rPr>
        <w:t>第四讲：如何利用经济管理指标衡量管理者的价值贡献</w:t>
      </w:r>
    </w:p>
    <w:p>
      <w:pPr>
        <w:pStyle w:val="5"/>
        <w:spacing w:before="0" w:beforeAutospacing="0" w:after="0" w:afterAutospacing="0" w:line="440" w:lineRule="atLeast"/>
      </w:pPr>
      <w:r>
        <w:t>1.会计利润与经济利润的区别</w:t>
      </w:r>
    </w:p>
    <w:p>
      <w:pPr>
        <w:pStyle w:val="5"/>
        <w:spacing w:before="0" w:beforeAutospacing="0" w:after="0" w:afterAutospacing="0" w:line="440" w:lineRule="atLeast"/>
      </w:pPr>
      <w:r>
        <w:t>2.传统企业考核指标分析</w:t>
      </w:r>
    </w:p>
    <w:p>
      <w:pPr>
        <w:pStyle w:val="5"/>
        <w:spacing w:before="0" w:beforeAutospacing="0" w:after="0" w:afterAutospacing="0" w:line="440" w:lineRule="atLeast"/>
      </w:pPr>
      <w:r>
        <w:t>3.现代企业管理考核指标分析</w:t>
      </w:r>
    </w:p>
    <w:p>
      <w:pPr>
        <w:pStyle w:val="5"/>
        <w:spacing w:before="0" w:beforeAutospacing="0" w:after="0" w:afterAutospacing="0" w:line="440" w:lineRule="atLeast"/>
      </w:pPr>
      <w:r>
        <w:t>4.现代企业经济管理指标在企业中的运用</w:t>
      </w:r>
    </w:p>
    <w:p>
      <w:pPr>
        <w:pStyle w:val="5"/>
        <w:spacing w:before="0" w:beforeAutospacing="0" w:after="0" w:afterAutospacing="0" w:line="440" w:lineRule="atLeast"/>
      </w:pPr>
      <w:r>
        <w:t>5.企业价值驱动杠杆分析</w:t>
      </w:r>
    </w:p>
    <w:p>
      <w:pPr>
        <w:pStyle w:val="5"/>
        <w:spacing w:before="0" w:beforeAutospacing="0" w:after="0" w:afterAutospacing="0" w:line="440" w:lineRule="atLeast"/>
      </w:pPr>
    </w:p>
    <w:p>
      <w:pPr>
        <w:pStyle w:val="5"/>
        <w:spacing w:before="0" w:beforeAutospacing="0" w:after="0" w:afterAutospacing="0" w:line="440" w:lineRule="atLeast"/>
      </w:pPr>
    </w:p>
    <w:p>
      <w:pPr>
        <w:pStyle w:val="5"/>
        <w:spacing w:before="0" w:beforeAutospacing="0" w:after="0" w:afterAutospacing="0" w:line="440" w:lineRule="atLeast"/>
      </w:pPr>
    </w:p>
    <w:p>
      <w:pPr>
        <w:pStyle w:val="5"/>
        <w:spacing w:before="0" w:beforeAutospacing="0" w:after="0" w:afterAutospacing="0" w:line="440" w:lineRule="atLeast"/>
      </w:pPr>
    </w:p>
    <w:p>
      <w:pPr>
        <w:pStyle w:val="5"/>
        <w:spacing w:before="0" w:beforeAutospacing="0" w:after="0" w:afterAutospacing="0" w:line="440" w:lineRule="atLeast"/>
      </w:pPr>
    </w:p>
    <w:p>
      <w:pPr>
        <w:pStyle w:val="5"/>
        <w:spacing w:before="0" w:beforeAutospacing="0" w:after="0" w:afterAutospacing="0" w:line="440" w:lineRule="atLeast"/>
        <w:rPr>
          <w:b/>
          <w:bCs/>
        </w:rPr>
      </w:pPr>
      <w:r>
        <w:rPr>
          <w:rFonts w:hint="eastAsia"/>
          <w:b/>
          <w:bCs/>
        </w:rPr>
        <w:t>【讲师简介】</w:t>
      </w:r>
    </w:p>
    <w:p>
      <w:pPr>
        <w:pStyle w:val="5"/>
        <w:spacing w:before="156" w:beforeLines="50" w:beforeAutospacing="0" w:after="0" w:afterAutospacing="0" w:line="360" w:lineRule="auto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4040505</wp:posOffset>
            </wp:positionH>
            <wp:positionV relativeFrom="margin">
              <wp:posOffset>320040</wp:posOffset>
            </wp:positionV>
            <wp:extent cx="1947545" cy="2466340"/>
            <wp:effectExtent l="19050" t="0" r="0" b="0"/>
            <wp:wrapSquare wrapText="bothSides"/>
            <wp:docPr id="1" name="图片 2" descr="11-黄道雄老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11-黄道雄老师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7545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32"/>
        </w:rPr>
        <w:t>黄道雄老师  财务管理实战专家</w:t>
      </w:r>
    </w:p>
    <w:p>
      <w:pPr>
        <w:pStyle w:val="5"/>
        <w:spacing w:before="156" w:beforeLines="50" w:beforeAutospacing="0" w:after="0" w:afterAutospacing="0" w:line="360" w:lineRule="auto"/>
        <w:rPr>
          <w:b/>
        </w:rPr>
      </w:pPr>
      <w:r>
        <w:rPr>
          <w:rFonts w:hint="eastAsia"/>
          <w:b/>
        </w:rPr>
        <w:t>曾任：逸马国际顾问集团  总部财务总监</w:t>
      </w:r>
    </w:p>
    <w:p>
      <w:pPr>
        <w:pStyle w:val="5"/>
        <w:spacing w:before="156" w:beforeLines="50" w:beforeAutospacing="0" w:after="0" w:afterAutospacing="0" w:line="360" w:lineRule="auto"/>
        <w:rPr>
          <w:b/>
        </w:rPr>
      </w:pPr>
      <w:r>
        <w:rPr>
          <w:rFonts w:hint="eastAsia"/>
          <w:b/>
        </w:rPr>
        <w:t>曾任：中科光电控股有限公司  国内事业部高级财务经理</w:t>
      </w:r>
    </w:p>
    <w:p>
      <w:pPr>
        <w:pStyle w:val="5"/>
        <w:spacing w:before="156" w:beforeLines="50" w:beforeAutospacing="0" w:after="0" w:afterAutospacing="0" w:line="360" w:lineRule="auto"/>
        <w:rPr>
          <w:b/>
        </w:rPr>
      </w:pPr>
      <w:r>
        <w:rPr>
          <w:rFonts w:hint="eastAsia"/>
          <w:b/>
        </w:rPr>
        <w:t>曾任：深圳市牛商网络股份有限公司  高级财务经理</w:t>
      </w:r>
    </w:p>
    <w:p>
      <w:pPr>
        <w:pStyle w:val="5"/>
        <w:spacing w:before="156" w:beforeLines="50" w:beforeAutospacing="0" w:after="0" w:afterAutospacing="0" w:line="360" w:lineRule="auto"/>
        <w:rPr>
          <w:b/>
        </w:rPr>
      </w:pPr>
      <w:r>
        <w:rPr>
          <w:rFonts w:hint="eastAsia"/>
          <w:b/>
        </w:rPr>
        <w:t>现任：深圳市美景园林绿化有限公司  副总裁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/>
        </w:rPr>
        <w:t>中国注册会计师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/>
        </w:rPr>
        <w:t>上海财经大学工商管理硕士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/>
          <w:bCs/>
        </w:rPr>
        <w:t xml:space="preserve">北京大学客座教授 /清华大学客座教授 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/>
          <w:bCs/>
        </w:rPr>
        <w:t>西南财经大学客座教授 /齐创辉财务商学院特聘财税讲师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/>
          <w:bCs/>
        </w:rPr>
        <w:t>连企在线商学院特聘财税讲师 /聚成华企商学院特聘财税讲师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/>
        </w:rPr>
        <w:t>广东省创意产业协会财税咨询师/齐创辉集团控股（香港）有限公司财税咨询师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/>
        </w:rPr>
        <w:t>全国会计专业技术资格考试辅导主讲讲师</w:t>
      </w:r>
    </w:p>
    <w:p>
      <w:pPr>
        <w:pStyle w:val="5"/>
        <w:spacing w:before="0" w:beforeAutospacing="0" w:after="0" w:afterAutospacing="0" w:line="360" w:lineRule="auto"/>
        <w:rPr>
          <w:b/>
        </w:rPr>
      </w:pPr>
      <w:r>
        <w:rPr>
          <w:rFonts w:hint="eastAsia"/>
          <w:b/>
        </w:rPr>
        <w:t>深圳中正银合会计师事务所、永达信会计师事务所有限公司、深圳银合税务师事务所高级财税顾问生、齐创辉集团财税咨询师、甲乙丙丁文化发展公司财务顾问、杰络集团财务顾问。</w:t>
      </w:r>
    </w:p>
    <w:p>
      <w:pPr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黄道雄老师拥有15年的企业运营、财务管理经验，</w:t>
      </w:r>
      <w:r>
        <w:rPr>
          <w:rFonts w:hint="eastAsia" w:ascii="宋体" w:hAnsi="宋体" w:cs="宋体"/>
          <w:bCs/>
          <w:color w:val="000000"/>
          <w:sz w:val="24"/>
          <w:szCs w:val="24"/>
        </w:rPr>
        <w:t>精通财务管理咨询及纳税筹划、企业内部控制制度设计等，</w:t>
      </w:r>
      <w:r>
        <w:rPr>
          <w:rFonts w:hint="eastAsia" w:ascii="宋体" w:hAnsi="宋体" w:cs="宋体"/>
          <w:bCs/>
          <w:sz w:val="24"/>
          <w:szCs w:val="24"/>
        </w:rPr>
        <w:t>研发出企业业绩管控模式、企业盈利模式、成本倍减、应账款管控、存货管控、营运资本管控等一套有效的运营管控工具，</w:t>
      </w:r>
      <w:r>
        <w:rPr>
          <w:rFonts w:hint="eastAsia" w:ascii="宋体" w:hAnsi="宋体" w:cs="宋体"/>
          <w:sz w:val="24"/>
          <w:szCs w:val="24"/>
        </w:rPr>
        <w:t>并提炼出简明易懂的管理理念，如销售至上、收款第一的账款控制理念；库存就是负债、呆滞就是损失库存管理理念，从而帮助企业形成的健康良性控制文化。</w:t>
      </w:r>
      <w:r>
        <w:rPr>
          <w:rFonts w:hint="eastAsia" w:ascii="宋体" w:hAnsi="宋体" w:cs="宋体"/>
          <w:b/>
          <w:sz w:val="24"/>
          <w:szCs w:val="24"/>
        </w:rPr>
        <w:t>累积了丰富的财务管理经验，</w:t>
      </w:r>
      <w:r>
        <w:rPr>
          <w:rFonts w:hint="eastAsia" w:ascii="宋体" w:hAnsi="宋体" w:cs="宋体"/>
          <w:b/>
          <w:bCs/>
          <w:sz w:val="24"/>
          <w:szCs w:val="24"/>
        </w:rPr>
        <w:t>先后为近100家企业提供财税咨询服务，</w:t>
      </w:r>
      <w:r>
        <w:rPr>
          <w:rFonts w:hint="eastAsia" w:ascii="宋体" w:hAnsi="宋体" w:cs="宋体"/>
          <w:b/>
          <w:sz w:val="24"/>
          <w:szCs w:val="24"/>
        </w:rPr>
        <w:t>帮助50多家企业改变财务价值观念，健全财务价值管理及考核系统。</w:t>
      </w:r>
    </w:p>
    <w:p>
      <w:pPr>
        <w:pStyle w:val="5"/>
        <w:spacing w:before="0" w:beforeAutospacing="0" w:after="0" w:afterAutospacing="0" w:line="360" w:lineRule="auto"/>
      </w:pPr>
    </w:p>
    <w:p>
      <w:pPr>
        <w:pStyle w:val="5"/>
        <w:spacing w:before="0" w:beforeAutospacing="0" w:after="0" w:afterAutospacing="0" w:line="360" w:lineRule="auto"/>
        <w:rPr>
          <w:b/>
        </w:rPr>
      </w:pPr>
      <w:r>
        <w:rPr>
          <w:rFonts w:hint="eastAsia"/>
          <w:b/>
        </w:rPr>
        <w:t>实战经验：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/>
          <w:b/>
        </w:rPr>
        <w:t>曾任职于深圳市牛商网络股份公司担任高级财务经理。</w:t>
      </w:r>
      <w:r>
        <w:rPr>
          <w:rFonts w:hint="eastAsia"/>
        </w:rPr>
        <w:t>在职期间，完善企业内部控制及核算分析体系，充分利用财务数据分析，揭示企业存在的问题并提出解决方案使公司发展不断壮大，并于2011筹备上市，目前已成功在新三板成功上市。同期担任多家银行融资业务，熟练掌握银行贷款方面的相关知识。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/>
          <w:b/>
        </w:rPr>
        <w:t>曾任职于深圳多家培训机构的财务特聘讲师：</w:t>
      </w:r>
      <w:r>
        <w:rPr>
          <w:rFonts w:hint="eastAsia"/>
        </w:rPr>
        <w:t>如：北京大学、清华大学、西南财经大学、北京盛世聚才、北京汉唐《注册分析师》培训、齐创辉财务商学院、深圳会计进修学院、世图教育、农科培训、爱华培训、赣冠培训、科讯等培训机构。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/>
          <w:b/>
        </w:rPr>
        <w:t>曾任职于中科光电控股有限公司（上市企业)担任国内事业部高级财务经理。</w:t>
      </w:r>
      <w:r>
        <w:rPr>
          <w:rFonts w:hint="eastAsia"/>
        </w:rPr>
        <w:t>负责国内事业部全面的财务管理工作，并与香港总部对接好资本市场的相关财务分析报告工作。在职期间为公司旗下的青海百科投资兴建格尔木10MW光伏电站项目做了重要贡献。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/>
          <w:b/>
        </w:rPr>
        <w:t>曾任职于深圳市逸马管理顾问有限公司担任集团总部财务总监。</w:t>
      </w:r>
      <w:r>
        <w:rPr>
          <w:rFonts w:hint="eastAsia"/>
        </w:rPr>
        <w:t>负责对集团分子公司财务管控及公司内部控制制度，由于公司主要服务于连锁企业，同时为公司咨询项目的客户提供财税咨询，并针对连锁企业独立开发第一个课程</w:t>
      </w:r>
      <w:r>
        <w:rPr>
          <w:rFonts w:hint="eastAsia"/>
          <w:color w:val="000000"/>
        </w:rPr>
        <w:t>《连锁企业财务管理》</w:t>
      </w:r>
      <w:r>
        <w:rPr>
          <w:rFonts w:hint="eastAsia"/>
        </w:rPr>
        <w:t>。</w:t>
      </w:r>
    </w:p>
    <w:p>
      <w:pPr>
        <w:pStyle w:val="5"/>
        <w:spacing w:before="0" w:beforeAutospacing="0" w:after="0" w:afterAutospacing="0" w:line="360" w:lineRule="auto"/>
      </w:pPr>
    </w:p>
    <w:p>
      <w:pPr>
        <w:pStyle w:val="5"/>
        <w:spacing w:before="0" w:beforeAutospacing="0" w:after="0" w:afterAutospacing="0" w:line="360" w:lineRule="auto"/>
        <w:rPr>
          <w:b/>
        </w:rPr>
      </w:pPr>
      <w:r>
        <w:rPr>
          <w:rFonts w:hint="eastAsia"/>
          <w:b/>
        </w:rPr>
        <w:t xml:space="preserve">主讲课程： 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/>
        </w:rPr>
        <w:t>《全面预算》、《总经理的财务管理》、《企业成本控制与管理》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/>
        </w:rPr>
        <w:t>《非财务经理的财务管理》、《企业财务报表阅读与分析》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/>
        </w:rPr>
        <w:t>《注册信贷分析师之财务报表分析》、《银行客户经理财务报表分析》</w:t>
      </w:r>
    </w:p>
    <w:p>
      <w:pPr>
        <w:pStyle w:val="5"/>
        <w:spacing w:before="0" w:beforeAutospacing="0" w:after="0" w:afterAutospacing="0" w:line="360" w:lineRule="auto"/>
      </w:pPr>
    </w:p>
    <w:p>
      <w:pPr>
        <w:pStyle w:val="5"/>
        <w:spacing w:before="0" w:beforeAutospacing="0" w:after="0" w:afterAutospacing="0" w:line="360" w:lineRule="auto"/>
        <w:rPr>
          <w:b/>
        </w:rPr>
      </w:pPr>
      <w:r>
        <w:rPr>
          <w:rFonts w:hint="eastAsia"/>
          <w:b/>
        </w:rPr>
        <w:t>授课风格：</w:t>
      </w:r>
    </w:p>
    <w:p>
      <w:pPr>
        <w:pStyle w:val="5"/>
        <w:spacing w:before="0" w:beforeAutospacing="0" w:after="0" w:afterAutospacing="0" w:line="360" w:lineRule="auto"/>
      </w:pPr>
      <w:r>
        <w:rPr>
          <w:rFonts w:hint="eastAsia"/>
        </w:rPr>
        <w:t>黄老师扎实的财务理论知识与丰富实践经验的有效结合，形成了他严谨、清晰、实用、生动的授课风格；将课程专业性和趣味性并重，理论和实践紧密结合，将财务管理和战略、经营管理融为一体。课程深入浅出，风格新颖、活跃，视角独到，内容充实缜密，一贯受到学员的高度赞扬。</w:t>
      </w:r>
    </w:p>
    <w:p>
      <w:pPr>
        <w:pStyle w:val="5"/>
        <w:spacing w:before="0" w:beforeAutospacing="0" w:after="0" w:afterAutospacing="0" w:line="360" w:lineRule="auto"/>
        <w:rPr>
          <w:b/>
        </w:rPr>
      </w:pPr>
    </w:p>
    <w:p>
      <w:pPr>
        <w:pStyle w:val="5"/>
        <w:spacing w:before="0" w:beforeAutospacing="0" w:after="0" w:afterAutospacing="0" w:line="360" w:lineRule="auto"/>
        <w:rPr>
          <w:b/>
        </w:rPr>
      </w:pPr>
      <w:r>
        <w:rPr>
          <w:rFonts w:hint="eastAsia"/>
          <w:b/>
        </w:rPr>
        <w:t>曾服务的企业：</w:t>
      </w:r>
    </w:p>
    <w:p>
      <w:pPr>
        <w:pStyle w:val="5"/>
        <w:spacing w:before="0" w:beforeAutospacing="0" w:after="0" w:afterAutospacing="0" w:line="360" w:lineRule="auto"/>
        <w:rPr>
          <w:color w:val="000000"/>
        </w:rPr>
      </w:pPr>
      <w:r>
        <w:rPr>
          <w:rFonts w:hint="eastAsia"/>
          <w:color w:val="000000"/>
        </w:rPr>
        <w:t>汉高中国、华为科技、西门子、联想集团、神州数码、施耐德电气、TCL、伊莱克斯、电讯盈科、中国网通、迪迪集团、远益科技、环宇仁和塑胶电子、隆原机电贸易、偶凯电子科技有限公司、超宇兴科技公司、三雄极光、唯一卫浴、立邦涂料、富昌兴电子、广东省电信工程有限公司、青海黄河电力投资公司、山东比德文电动车有限公司 、日立建机、东方通信、神州数码、浪潮集团、艾美特电器、绪光集团、发塑胶玩具、丽珠集团、默沙东、霍尼韦尔、SMC中国、ASIMC、中海石油、BP、阿克苏诺贝尔、扬子石化、默克雪兰诺、保利协鑫、云南原生生物工程、上海誉兴、麦田科技、水妮亚贸易、杰洛集团、奔达拉链、中国纺织进出口、卡斯谩诺、景旺电子、华润万家、飞来发航空服务、松泽化妆品、鸿胜公益制品、中原地产（深圳）、山重租赁有限公司、美联物业、广州红海集团、广西方盛实业股份有限公司、广州合宏达电力投资有限公司、广州市政府、郑州大地传媒股份有限公司、上海大丰农场、广州建材、合肥育才集团、广州白云机场、广州大金空调、揭阳市天诚密封件有限公司、北京卓望集团、深圳通意达机电设备、天津太重滨海重型机械、天津银行、成都建设银行、中国工商银行、中国银行、中信银行、杭州银行、天津农商行、重庆邮储银行、石家庄邮政、广州邮政局、南京建行、平安保险、上实投资、营山县财政局、广州电信、阳江移动、广州移动、辽宁莱恒酒店、百胜餐饮、嘉乐源餐饮、轻松饮餐饮、一品轩食品、永和大王、北京好适口、力王厨具、可口可乐、百事可乐、大冢制药、新华制药、三九集团、山西九牛牧业、活力一百、仁川大药房、西南财经大学经济管理学院、北京大学、深圳清华研究院、深圳会计进修学院、爱华培训、赣冠培训、科讯培训、创意产业协会、连企网、企汇网、世图教育、五粮液集团、北京国药集团、泉州爱君电子有限公司</w:t>
      </w:r>
    </w:p>
    <w:p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课程精彩瞬间：</w:t>
      </w:r>
    </w:p>
    <w:tbl>
      <w:tblPr>
        <w:tblStyle w:val="8"/>
        <w:tblW w:w="96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93"/>
        <w:gridCol w:w="4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3" w:type="dxa"/>
          </w:tcPr>
          <w:p>
            <w:pPr>
              <w:jc w:val="center"/>
            </w:pPr>
            <w:r>
              <w:rPr>
                <w:rFonts w:hint="eastAsia"/>
              </w:rPr>
              <w:drawing>
                <wp:inline distT="0" distB="0" distL="114300" distR="114300">
                  <wp:extent cx="2760345" cy="2018665"/>
                  <wp:effectExtent l="0" t="0" r="1905" b="635"/>
                  <wp:docPr id="8" name="图片 7" descr="808486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 descr="80848621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0345" cy="2018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>
            <w:pPr>
              <w:jc w:val="center"/>
            </w:pPr>
            <w:r>
              <w:rPr>
                <w:rFonts w:hint="eastAsia"/>
              </w:rPr>
              <w:drawing>
                <wp:inline distT="0" distB="0" distL="114300" distR="114300">
                  <wp:extent cx="2759710" cy="2019300"/>
                  <wp:effectExtent l="0" t="0" r="2540" b="0"/>
                  <wp:docPr id="9" name="图片 8" descr="13797288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8" descr="137972883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971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3" w:type="dxa"/>
          </w:tcPr>
          <w:p>
            <w:pPr>
              <w:jc w:val="center"/>
            </w:pPr>
            <w:r>
              <w:rPr>
                <w:rFonts w:hint="eastAsia"/>
              </w:rPr>
              <w:t>迪迪</w:t>
            </w:r>
            <w:r>
              <w:t>集团</w:t>
            </w:r>
          </w:p>
          <w:p>
            <w:pPr>
              <w:jc w:val="center"/>
            </w:pPr>
            <w:r>
              <w:rPr>
                <w:rFonts w:hint="eastAsia"/>
              </w:rPr>
              <w:t>《报表</w:t>
            </w:r>
            <w:r>
              <w:t>分</w:t>
            </w:r>
            <w:r>
              <w:rPr>
                <w:rFonts w:hint="eastAsia"/>
              </w:rPr>
              <w:t>析与全面预算》</w:t>
            </w:r>
          </w:p>
        </w:tc>
        <w:tc>
          <w:tcPr>
            <w:tcW w:w="4711" w:type="dxa"/>
          </w:tcPr>
          <w:p>
            <w:pPr>
              <w:jc w:val="center"/>
            </w:pPr>
            <w:r>
              <w:rPr>
                <w:rFonts w:hint="eastAsia"/>
              </w:rPr>
              <w:t>美联物业</w:t>
            </w:r>
          </w:p>
          <w:p>
            <w:pPr>
              <w:jc w:val="center"/>
            </w:pPr>
            <w:r>
              <w:rPr>
                <w:rFonts w:hint="eastAsia"/>
              </w:rPr>
              <w:t>《报表分析与全面预算》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3" w:type="dxa"/>
          </w:tcPr>
          <w:p>
            <w:pPr>
              <w:jc w:val="center"/>
            </w:pPr>
            <w:r>
              <w:rPr>
                <w:rFonts w:hint="eastAsia"/>
              </w:rPr>
              <w:drawing>
                <wp:inline distT="0" distB="0" distL="114300" distR="114300">
                  <wp:extent cx="2755265" cy="2020570"/>
                  <wp:effectExtent l="0" t="0" r="6985" b="17780"/>
                  <wp:docPr id="14" name="图片 13" descr="webwxget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3" descr="webwxgetms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265" cy="202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>
            <w:pPr>
              <w:jc w:val="center"/>
            </w:pPr>
            <w:r>
              <w:rPr>
                <w:rFonts w:hint="eastAsia"/>
              </w:rPr>
              <w:drawing>
                <wp:inline distT="0" distB="0" distL="114300" distR="114300">
                  <wp:extent cx="2755265" cy="2020570"/>
                  <wp:effectExtent l="0" t="0" r="6985" b="17780"/>
                  <wp:docPr id="15" name="图片 14" descr="webwxgetmsgimgc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4" descr="webwxgetmsgimgcc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265" cy="202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3" w:type="dxa"/>
          </w:tcPr>
          <w:p>
            <w:pPr>
              <w:jc w:val="center"/>
            </w:pPr>
            <w:r>
              <w:rPr>
                <w:rFonts w:hint="eastAsia"/>
              </w:rPr>
              <w:t>柳州总裁班</w:t>
            </w:r>
          </w:p>
          <w:p>
            <w:pPr>
              <w:jc w:val="center"/>
            </w:pPr>
            <w:r>
              <w:rPr>
                <w:rFonts w:hint="eastAsia"/>
              </w:rPr>
              <w:t>《总经理的财务管理》</w:t>
            </w:r>
          </w:p>
        </w:tc>
        <w:tc>
          <w:tcPr>
            <w:tcW w:w="4711" w:type="dxa"/>
          </w:tcPr>
          <w:p>
            <w:pPr>
              <w:jc w:val="center"/>
            </w:pPr>
            <w:r>
              <w:rPr>
                <w:rFonts w:hint="eastAsia"/>
              </w:rPr>
              <w:t>柳州总裁班</w:t>
            </w:r>
          </w:p>
          <w:p>
            <w:pPr>
              <w:jc w:val="center"/>
            </w:pPr>
            <w:r>
              <w:rPr>
                <w:rFonts w:hint="eastAsia"/>
              </w:rPr>
              <w:t>《总经理的财务管理》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3" w:type="dxa"/>
          </w:tcPr>
          <w:p>
            <w:pPr>
              <w:jc w:val="center"/>
            </w:pPr>
            <w:r>
              <w:drawing>
                <wp:inline distT="0" distB="0" distL="114300" distR="114300">
                  <wp:extent cx="2761615" cy="2023745"/>
                  <wp:effectExtent l="0" t="0" r="635" b="14605"/>
                  <wp:docPr id="28" name="图片 27" descr="729704452712013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7" descr="72970445271201393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615" cy="2023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>
            <w:pPr>
              <w:jc w:val="center"/>
            </w:pPr>
            <w:r>
              <w:drawing>
                <wp:inline distT="0" distB="0" distL="114300" distR="114300">
                  <wp:extent cx="2762250" cy="2023110"/>
                  <wp:effectExtent l="0" t="0" r="0" b="15240"/>
                  <wp:docPr id="29" name="图片 28" descr="4235288284684184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8" descr="42352882846841840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2023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3" w:type="dxa"/>
          </w:tcPr>
          <w:p>
            <w:pPr>
              <w:jc w:val="center"/>
            </w:pPr>
            <w:r>
              <w:rPr>
                <w:rFonts w:hint="eastAsia"/>
              </w:rPr>
              <w:t>中国工商银行</w:t>
            </w:r>
          </w:p>
          <w:p>
            <w:pPr>
              <w:jc w:val="center"/>
            </w:pPr>
            <w:r>
              <w:rPr>
                <w:rFonts w:hint="eastAsia"/>
              </w:rPr>
              <w:t>《ERP企业全面运营管理》</w:t>
            </w:r>
          </w:p>
        </w:tc>
        <w:tc>
          <w:tcPr>
            <w:tcW w:w="4711" w:type="dxa"/>
          </w:tcPr>
          <w:p>
            <w:pPr>
              <w:jc w:val="center"/>
            </w:pPr>
            <w:r>
              <w:rPr>
                <w:rFonts w:hint="eastAsia"/>
              </w:rPr>
              <w:t>五粮液集团</w:t>
            </w:r>
          </w:p>
          <w:p>
            <w:pPr>
              <w:jc w:val="center"/>
            </w:pPr>
            <w:r>
              <w:rPr>
                <w:rFonts w:hint="eastAsia"/>
              </w:rPr>
              <w:t>《非财务经理的财务管理》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3" w:type="dxa"/>
          </w:tcPr>
          <w:p>
            <w:pPr>
              <w:jc w:val="center"/>
            </w:pPr>
            <w:r>
              <w:drawing>
                <wp:inline distT="0" distB="0" distL="114300" distR="114300">
                  <wp:extent cx="2766060" cy="2020570"/>
                  <wp:effectExtent l="0" t="0" r="15240" b="17780"/>
                  <wp:docPr id="30" name="图片 29" descr="7395490814082986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9" descr="739549081408298653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6060" cy="202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1" w:type="dxa"/>
          </w:tcPr>
          <w:p>
            <w:pPr>
              <w:jc w:val="center"/>
            </w:pPr>
            <w:r>
              <w:drawing>
                <wp:inline distT="0" distB="0" distL="114300" distR="114300">
                  <wp:extent cx="2755265" cy="2020570"/>
                  <wp:effectExtent l="0" t="0" r="6985" b="17780"/>
                  <wp:docPr id="31" name="图片 30" descr="677135792369308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0" descr="677135792369308312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265" cy="202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893" w:type="dxa"/>
          </w:tcPr>
          <w:p>
            <w:pPr>
              <w:jc w:val="center"/>
            </w:pPr>
            <w:r>
              <w:rPr>
                <w:rFonts w:hint="eastAsia"/>
              </w:rPr>
              <w:t>北京国药集团</w:t>
            </w:r>
          </w:p>
          <w:p>
            <w:pPr>
              <w:jc w:val="center"/>
            </w:pPr>
            <w:r>
              <w:rPr>
                <w:rFonts w:hint="eastAsia"/>
              </w:rPr>
              <w:t>《应收账款控制与催收及信用管理实务》</w:t>
            </w:r>
          </w:p>
        </w:tc>
        <w:tc>
          <w:tcPr>
            <w:tcW w:w="4711" w:type="dxa"/>
          </w:tcPr>
          <w:p>
            <w:pPr>
              <w:jc w:val="center"/>
            </w:pPr>
            <w:r>
              <w:rPr>
                <w:rFonts w:hint="eastAsia"/>
              </w:rPr>
              <w:t>泉州爱君电子有限公司</w:t>
            </w:r>
          </w:p>
          <w:p>
            <w:pPr>
              <w:jc w:val="center"/>
            </w:pPr>
            <w:r>
              <w:rPr>
                <w:rFonts w:hint="eastAsia"/>
              </w:rPr>
              <w:t>《中级财务管理》</w:t>
            </w:r>
          </w:p>
        </w:tc>
      </w:tr>
    </w:tbl>
    <w:p>
      <w:pPr>
        <w:jc w:val="center"/>
      </w:pPr>
    </w:p>
    <w:p>
      <w:pPr>
        <w:rPr>
          <w:rFonts w:ascii="黑体" w:hAnsi="微软雅黑" w:eastAsia="黑体"/>
          <w:color w:val="C00000"/>
          <w:sz w:val="28"/>
          <w:szCs w:val="28"/>
        </w:rPr>
      </w:pPr>
    </w:p>
    <w:p>
      <w:pPr>
        <w:rPr>
          <w:rFonts w:ascii="黑体" w:hAnsi="微软雅黑" w:eastAsia="黑体"/>
          <w:color w:val="C00000"/>
          <w:sz w:val="28"/>
          <w:szCs w:val="28"/>
        </w:rPr>
      </w:pPr>
    </w:p>
    <w:p>
      <w:pPr>
        <w:rPr>
          <w:rFonts w:ascii="黑体" w:hAnsi="微软雅黑" w:eastAsia="黑体"/>
          <w:color w:val="C00000"/>
          <w:sz w:val="28"/>
          <w:szCs w:val="28"/>
        </w:rPr>
      </w:pPr>
    </w:p>
    <w:p>
      <w:pPr>
        <w:rPr>
          <w:rFonts w:ascii="黑体" w:hAnsi="微软雅黑" w:eastAsia="黑体"/>
          <w:color w:val="C00000"/>
          <w:sz w:val="28"/>
          <w:szCs w:val="28"/>
        </w:rPr>
      </w:pPr>
    </w:p>
    <w:p>
      <w:pPr>
        <w:rPr>
          <w:rFonts w:ascii="黑体" w:hAnsi="微软雅黑" w:eastAsia="黑体"/>
          <w:color w:val="C00000"/>
          <w:sz w:val="28"/>
          <w:szCs w:val="28"/>
        </w:rPr>
      </w:pPr>
    </w:p>
    <w:p>
      <w:pPr>
        <w:rPr>
          <w:rFonts w:ascii="黑体" w:hAnsi="微软雅黑" w:eastAsia="黑体"/>
          <w:color w:val="C00000"/>
          <w:sz w:val="28"/>
          <w:szCs w:val="28"/>
        </w:rPr>
      </w:pPr>
    </w:p>
    <w:p>
      <w:pPr>
        <w:rPr>
          <w:rFonts w:ascii="黑体" w:hAnsi="微软雅黑" w:eastAsia="黑体"/>
          <w:color w:val="C00000"/>
          <w:sz w:val="28"/>
          <w:szCs w:val="28"/>
        </w:rPr>
      </w:pPr>
    </w:p>
    <w:p>
      <w:pPr>
        <w:rPr>
          <w:rFonts w:ascii="黑体" w:hAnsi="微软雅黑" w:eastAsia="黑体"/>
          <w:color w:val="C00000"/>
          <w:sz w:val="28"/>
          <w:szCs w:val="28"/>
        </w:rPr>
      </w:pPr>
    </w:p>
    <w:p>
      <w:pPr>
        <w:rPr>
          <w:rFonts w:ascii="黑体" w:hAnsi="微软雅黑" w:eastAsia="黑体"/>
          <w:color w:val="C00000"/>
          <w:sz w:val="28"/>
          <w:szCs w:val="28"/>
        </w:rPr>
      </w:pPr>
    </w:p>
    <w:p>
      <w:pPr>
        <w:rPr>
          <w:rFonts w:ascii="黑体" w:hAnsi="微软雅黑" w:eastAsia="黑体"/>
          <w:color w:val="C00000"/>
          <w:sz w:val="28"/>
          <w:szCs w:val="28"/>
        </w:rPr>
      </w:pPr>
    </w:p>
    <w:p>
      <w:pPr>
        <w:rPr>
          <w:rFonts w:ascii="黑体" w:hAnsi="微软雅黑" w:eastAsia="黑体"/>
          <w:color w:val="C00000"/>
          <w:sz w:val="28"/>
          <w:szCs w:val="28"/>
        </w:rPr>
      </w:pPr>
    </w:p>
    <w:p>
      <w:pPr>
        <w:rPr>
          <w:rFonts w:ascii="黑体" w:hAnsi="微软雅黑" w:eastAsia="黑体"/>
          <w:color w:val="C00000"/>
          <w:sz w:val="28"/>
          <w:szCs w:val="28"/>
        </w:rPr>
      </w:pPr>
    </w:p>
    <w:p>
      <w:pPr>
        <w:rPr>
          <w:rFonts w:ascii="黑体" w:hAnsi="微软雅黑" w:eastAsia="黑体"/>
          <w:color w:val="C00000"/>
          <w:sz w:val="28"/>
          <w:szCs w:val="28"/>
        </w:rPr>
      </w:pPr>
    </w:p>
    <w:p>
      <w:pPr>
        <w:rPr>
          <w:rFonts w:ascii="黑体" w:hAnsi="微软雅黑" w:eastAsia="黑体"/>
          <w:color w:val="C00000"/>
          <w:sz w:val="28"/>
          <w:szCs w:val="28"/>
        </w:rPr>
      </w:pPr>
    </w:p>
    <w:p>
      <w:pPr>
        <w:rPr>
          <w:rFonts w:ascii="黑体" w:hAnsi="微软雅黑" w:eastAsia="黑体"/>
          <w:color w:val="C00000"/>
          <w:sz w:val="28"/>
          <w:szCs w:val="28"/>
        </w:rPr>
      </w:pPr>
    </w:p>
    <w:p>
      <w:pPr>
        <w:rPr>
          <w:rFonts w:ascii="黑体" w:hAnsi="微软雅黑" w:eastAsia="黑体"/>
          <w:color w:val="C00000"/>
          <w:sz w:val="28"/>
          <w:szCs w:val="28"/>
        </w:rPr>
      </w:pPr>
    </w:p>
    <w:p>
      <w:pPr>
        <w:rPr>
          <w:rFonts w:ascii="黑体" w:hAnsi="微软雅黑" w:eastAsia="黑体"/>
          <w:color w:val="C00000"/>
          <w:sz w:val="28"/>
          <w:szCs w:val="28"/>
        </w:rPr>
      </w:pPr>
    </w:p>
    <w:p>
      <w:pPr>
        <w:rPr>
          <w:rFonts w:ascii="黑体" w:hAnsi="微软雅黑" w:eastAsia="黑体"/>
          <w:color w:val="C00000"/>
          <w:sz w:val="28"/>
          <w:szCs w:val="28"/>
        </w:rPr>
      </w:pPr>
      <w:r>
        <w:rPr>
          <w:rFonts w:hint="eastAsia" w:ascii="黑体" w:hAnsi="微软雅黑" w:eastAsia="黑体"/>
          <w:color w:val="C00000"/>
          <w:sz w:val="28"/>
          <w:szCs w:val="28"/>
        </w:rPr>
        <w:t>参训学员报名表：</w:t>
      </w:r>
    </w:p>
    <w:p>
      <w:pPr>
        <w:rPr>
          <w:rFonts w:ascii="微软雅黑" w:hAnsi="微软雅黑" w:eastAsia="微软雅黑" w:cs="微软雅黑"/>
          <w:color w:val="000000"/>
          <w:szCs w:val="21"/>
        </w:rPr>
      </w:pPr>
      <w:r>
        <w:rPr>
          <w:rFonts w:hint="eastAsia" w:ascii="微软雅黑" w:hAnsi="微软雅黑" w:eastAsia="微软雅黑" w:cs="微软雅黑"/>
          <w:color w:val="000000"/>
          <w:szCs w:val="21"/>
        </w:rPr>
        <w:t>我单位共</w:t>
      </w:r>
      <w:r>
        <w:rPr>
          <w:rFonts w:hint="eastAsia" w:ascii="微软雅黑" w:hAnsi="微软雅黑" w:eastAsia="微软雅黑" w:cs="微软雅黑"/>
          <w:color w:val="000000"/>
          <w:szCs w:val="21"/>
          <w:u w:val="single"/>
        </w:rPr>
        <w:t xml:space="preserve">       </w:t>
      </w:r>
      <w:r>
        <w:rPr>
          <w:rFonts w:hint="eastAsia" w:ascii="微软雅黑" w:hAnsi="微软雅黑" w:eastAsia="微软雅黑" w:cs="微软雅黑"/>
          <w:color w:val="000000"/>
          <w:szCs w:val="21"/>
        </w:rPr>
        <w:t>人确定报名参加 2017年</w:t>
      </w:r>
      <w:r>
        <w:rPr>
          <w:rFonts w:hint="eastAsia" w:ascii="微软雅黑" w:hAnsi="微软雅黑" w:eastAsia="微软雅黑" w:cs="微软雅黑"/>
          <w:color w:val="000000"/>
          <w:szCs w:val="21"/>
          <w:u w:val="single"/>
        </w:rPr>
        <w:t xml:space="preserve">    </w:t>
      </w:r>
      <w:r>
        <w:rPr>
          <w:rFonts w:hint="eastAsia" w:ascii="微软雅黑" w:hAnsi="微软雅黑" w:eastAsia="微软雅黑" w:cs="微软雅黑"/>
          <w:color w:val="000000"/>
          <w:szCs w:val="21"/>
        </w:rPr>
        <w:t>月</w:t>
      </w:r>
      <w:r>
        <w:rPr>
          <w:rFonts w:hint="eastAsia" w:ascii="微软雅黑" w:hAnsi="微软雅黑" w:eastAsia="微软雅黑" w:cs="微软雅黑"/>
          <w:color w:val="000000"/>
          <w:szCs w:val="21"/>
          <w:u w:val="single"/>
        </w:rPr>
        <w:t xml:space="preserve">    </w:t>
      </w:r>
      <w:r>
        <w:rPr>
          <w:rFonts w:hint="eastAsia" w:ascii="微软雅黑" w:hAnsi="微软雅黑" w:eastAsia="微软雅黑" w:cs="微软雅黑"/>
          <w:color w:val="000000"/>
          <w:szCs w:val="21"/>
        </w:rPr>
        <w:t>日在</w:t>
      </w:r>
      <w:r>
        <w:rPr>
          <w:rFonts w:hint="eastAsia" w:ascii="微软雅黑" w:hAnsi="微软雅黑" w:eastAsia="微软雅黑" w:cs="微软雅黑"/>
          <w:color w:val="000000"/>
          <w:szCs w:val="21"/>
          <w:u w:val="single"/>
        </w:rPr>
        <w:t xml:space="preserve">      </w:t>
      </w:r>
      <w:r>
        <w:rPr>
          <w:rFonts w:hint="eastAsia" w:ascii="微软雅黑" w:hAnsi="微软雅黑" w:eastAsia="微软雅黑" w:cs="微软雅黑"/>
          <w:color w:val="000000"/>
          <w:szCs w:val="21"/>
        </w:rPr>
        <w:t>举办的培训班。</w:t>
      </w:r>
    </w:p>
    <w:tbl>
      <w:tblPr>
        <w:tblStyle w:val="8"/>
        <w:tblpPr w:leftFromText="180" w:rightFromText="180" w:vertAnchor="text" w:horzAnchor="page" w:tblpX="1123" w:tblpY="246"/>
        <w:tblOverlap w:val="never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1"/>
        <w:gridCol w:w="891"/>
        <w:gridCol w:w="219"/>
        <w:gridCol w:w="1320"/>
        <w:gridCol w:w="590"/>
        <w:gridCol w:w="1075"/>
        <w:gridCol w:w="1056"/>
        <w:gridCol w:w="969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22" w:type="dxa"/>
            <w:gridSpan w:val="2"/>
            <w:tcBorders>
              <w:top w:val="nil"/>
              <w:left w:val="nil"/>
              <w:bottom w:val="dashed" w:color="969696" w:sz="4" w:space="0"/>
              <w:right w:val="dashed" w:color="969696" w:sz="4" w:space="0"/>
            </w:tcBorders>
            <w:shd w:val="clear" w:color="auto" w:fill="auto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单位名称:</w:t>
            </w:r>
          </w:p>
        </w:tc>
        <w:tc>
          <w:tcPr>
            <w:tcW w:w="7086" w:type="dxa"/>
            <w:gridSpan w:val="7"/>
            <w:tcBorders>
              <w:top w:val="nil"/>
              <w:left w:val="dashed" w:color="969696" w:sz="4" w:space="0"/>
              <w:bottom w:val="dashed" w:color="969696" w:sz="4" w:space="0"/>
              <w:right w:val="nil"/>
            </w:tcBorders>
            <w:shd w:val="clear" w:color="auto" w:fill="auto"/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22" w:type="dxa"/>
            <w:gridSpan w:val="2"/>
            <w:tcBorders>
              <w:top w:val="dashed" w:color="969696" w:sz="4" w:space="0"/>
              <w:left w:val="nil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地 址:</w:t>
            </w:r>
          </w:p>
        </w:tc>
        <w:tc>
          <w:tcPr>
            <w:tcW w:w="7086" w:type="dxa"/>
            <w:gridSpan w:val="7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nil"/>
            </w:tcBorders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22" w:type="dxa"/>
            <w:gridSpan w:val="2"/>
            <w:tcBorders>
              <w:top w:val="dashed" w:color="969696" w:sz="4" w:space="0"/>
              <w:left w:val="nil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联系人姓名:</w:t>
            </w:r>
          </w:p>
        </w:tc>
        <w:tc>
          <w:tcPr>
            <w:tcW w:w="2129" w:type="dxa"/>
            <w:gridSpan w:val="3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性 别:</w:t>
            </w:r>
          </w:p>
        </w:tc>
        <w:tc>
          <w:tcPr>
            <w:tcW w:w="2826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nil"/>
            </w:tcBorders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22" w:type="dxa"/>
            <w:gridSpan w:val="2"/>
            <w:tcBorders>
              <w:top w:val="dashed" w:color="969696" w:sz="4" w:space="0"/>
              <w:left w:val="nil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手 机:</w:t>
            </w:r>
          </w:p>
        </w:tc>
        <w:tc>
          <w:tcPr>
            <w:tcW w:w="2129" w:type="dxa"/>
            <w:gridSpan w:val="3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电 话:</w:t>
            </w:r>
          </w:p>
        </w:tc>
        <w:tc>
          <w:tcPr>
            <w:tcW w:w="2826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nil"/>
            </w:tcBorders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922" w:type="dxa"/>
            <w:gridSpan w:val="2"/>
            <w:tcBorders>
              <w:top w:val="dashed" w:color="969696" w:sz="4" w:space="0"/>
              <w:left w:val="nil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部门/职务:</w:t>
            </w:r>
          </w:p>
        </w:tc>
        <w:tc>
          <w:tcPr>
            <w:tcW w:w="2129" w:type="dxa"/>
            <w:gridSpan w:val="3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131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E-mail:</w:t>
            </w:r>
          </w:p>
        </w:tc>
        <w:tc>
          <w:tcPr>
            <w:tcW w:w="2826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nil"/>
            </w:tcBorders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31" w:type="dxa"/>
            <w:tcBorders>
              <w:top w:val="dashed" w:color="969696" w:sz="4" w:space="0"/>
              <w:left w:val="nil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ind w:firstLine="525" w:firstLineChars="250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姓 名</w:t>
            </w:r>
          </w:p>
        </w:tc>
        <w:tc>
          <w:tcPr>
            <w:tcW w:w="1110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性 别</w:t>
            </w:r>
          </w:p>
        </w:tc>
        <w:tc>
          <w:tcPr>
            <w:tcW w:w="1320" w:type="dxa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职 位</w:t>
            </w:r>
          </w:p>
        </w:tc>
        <w:tc>
          <w:tcPr>
            <w:tcW w:w="1665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手 机</w:t>
            </w:r>
          </w:p>
        </w:tc>
        <w:tc>
          <w:tcPr>
            <w:tcW w:w="2025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E-mail</w:t>
            </w:r>
          </w:p>
        </w:tc>
        <w:tc>
          <w:tcPr>
            <w:tcW w:w="1857" w:type="dxa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Cs w:val="21"/>
              </w:rPr>
              <w:t>金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31" w:type="dxa"/>
            <w:tcBorders>
              <w:top w:val="dashed" w:color="969696" w:sz="4" w:space="0"/>
              <w:left w:val="nil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320" w:type="dxa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25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57" w:type="dxa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31" w:type="dxa"/>
            <w:tcBorders>
              <w:top w:val="dashed" w:color="969696" w:sz="4" w:space="0"/>
              <w:left w:val="nil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110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320" w:type="dxa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665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2025" w:type="dxa"/>
            <w:gridSpan w:val="2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  <w:tc>
          <w:tcPr>
            <w:tcW w:w="1857" w:type="dxa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nil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31" w:type="dxa"/>
            <w:tcBorders>
              <w:top w:val="dashed" w:color="969696" w:sz="4" w:space="0"/>
              <w:left w:val="nil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缴费方式</w:t>
            </w:r>
          </w:p>
        </w:tc>
        <w:tc>
          <w:tcPr>
            <w:tcW w:w="7977" w:type="dxa"/>
            <w:gridSpan w:val="8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 □ 转帐   □ 现金       （请选择 在□打√）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031" w:type="dxa"/>
            <w:tcBorders>
              <w:top w:val="dashed" w:color="969696" w:sz="4" w:space="0"/>
              <w:left w:val="nil"/>
              <w:bottom w:val="dashed" w:color="969696" w:sz="4" w:space="0"/>
              <w:right w:val="dashed" w:color="969696" w:sz="4" w:space="0"/>
            </w:tcBorders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Cs w:val="21"/>
              </w:rPr>
              <w:t>住宿要求</w:t>
            </w:r>
          </w:p>
        </w:tc>
        <w:tc>
          <w:tcPr>
            <w:tcW w:w="7977" w:type="dxa"/>
            <w:gridSpan w:val="8"/>
            <w:tcBorders>
              <w:top w:val="dashed" w:color="969696" w:sz="4" w:space="0"/>
              <w:left w:val="dashed" w:color="969696" w:sz="4" w:space="0"/>
              <w:bottom w:val="dashed" w:color="969696" w:sz="4" w:space="0"/>
              <w:right w:val="nil"/>
            </w:tcBorders>
          </w:tcPr>
          <w:p>
            <w:pPr>
              <w:widowControl/>
              <w:adjustRightInd w:val="0"/>
              <w:snapToGrid w:val="0"/>
              <w:spacing w:line="400" w:lineRule="exact"/>
              <w:ind w:firstLine="210" w:firstLineChars="100"/>
              <w:jc w:val="left"/>
              <w:rPr>
                <w:rFonts w:ascii="微软雅黑" w:hAnsi="微软雅黑" w:eastAsia="微软雅黑" w:cs="微软雅黑"/>
                <w:kern w:val="0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预定：双人房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u w:val="single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间；单人房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u w:val="single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间，住宿时间：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至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日</w:t>
            </w:r>
          </w:p>
          <w:p>
            <w:pPr>
              <w:spacing w:line="400" w:lineRule="exact"/>
              <w:jc w:val="left"/>
              <w:rPr>
                <w:rFonts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Cs w:val="21"/>
              </w:rPr>
              <w:t>(不用预定请留空)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10008" w:type="dxa"/>
            <w:gridSpan w:val="9"/>
            <w:tcBorders>
              <w:top w:val="dashed" w:color="969696" w:sz="4" w:space="0"/>
              <w:left w:val="nil"/>
              <w:bottom w:val="nil"/>
              <w:right w:val="dashed" w:color="969696" w:sz="4" w:space="0"/>
            </w:tcBorders>
          </w:tcPr>
          <w:p>
            <w:pPr>
              <w:autoSpaceDN w:val="0"/>
              <w:snapToGrid w:val="0"/>
              <w:spacing w:line="280" w:lineRule="exact"/>
              <w:jc w:val="left"/>
              <w:rPr>
                <w:rFonts w:ascii="微软雅黑" w:hAnsi="微软雅黑" w:eastAsia="微软雅黑"/>
                <w:b/>
                <w:color w:val="FF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FF0000"/>
                <w:szCs w:val="21"/>
              </w:rPr>
              <w:t>请将费用汇至：</w:t>
            </w:r>
          </w:p>
          <w:p>
            <w:pPr>
              <w:autoSpaceDN w:val="0"/>
              <w:snapToGrid w:val="0"/>
              <w:spacing w:line="280" w:lineRule="exact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户名：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深圳市中企智汇企业管理咨询有限公司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</w:t>
            </w:r>
          </w:p>
          <w:p>
            <w:pPr>
              <w:autoSpaceDN w:val="0"/>
              <w:snapToGrid w:val="0"/>
              <w:spacing w:line="280" w:lineRule="exact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>开户银行：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>建设银行深圳南山大道支行</w:t>
            </w: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  </w:t>
            </w:r>
          </w:p>
          <w:p>
            <w:pPr>
              <w:autoSpaceDN w:val="0"/>
              <w:snapToGrid w:val="0"/>
              <w:spacing w:line="280" w:lineRule="exact"/>
              <w:ind w:left="-178" w:leftChars="-85" w:firstLine="155" w:firstLineChars="74"/>
              <w:jc w:val="left"/>
              <w:rPr>
                <w:rFonts w:ascii="微软雅黑" w:hAnsi="微软雅黑" w:eastAsia="微软雅黑"/>
                <w:color w:val="000000"/>
                <w:szCs w:val="21"/>
              </w:rPr>
            </w:pPr>
            <w:r>
              <w:rPr>
                <w:rFonts w:hint="eastAsia" w:ascii="微软雅黑" w:hAnsi="微软雅黑" w:eastAsia="微软雅黑"/>
                <w:color w:val="000000"/>
                <w:szCs w:val="21"/>
              </w:rPr>
              <w:t xml:space="preserve"> 账号：</w:t>
            </w:r>
            <w:r>
              <w:rPr>
                <w:rFonts w:hint="eastAsia" w:ascii="微软雅黑" w:hAnsi="微软雅黑" w:eastAsia="微软雅黑"/>
                <w:b/>
                <w:color w:val="000000"/>
                <w:szCs w:val="21"/>
              </w:rPr>
              <w:t xml:space="preserve">4420 1583 9000 5250 9058   </w:t>
            </w:r>
          </w:p>
        </w:tc>
      </w:tr>
    </w:tbl>
    <w:p>
      <w:pPr>
        <w:widowControl/>
        <w:adjustRightInd w:val="0"/>
        <w:snapToGrid w:val="0"/>
        <w:spacing w:line="320" w:lineRule="exact"/>
        <w:rPr>
          <w:rFonts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  <w:lang w:val="zh-CN"/>
        </w:rPr>
        <w:t>此表所填信息仅用于招生工作，如需参加请填写回传给我们</w:t>
      </w:r>
      <w:r>
        <w:rPr>
          <w:rFonts w:hint="eastAsia" w:ascii="微软雅黑" w:hAnsi="微软雅黑" w:eastAsia="微软雅黑" w:cs="微软雅黑"/>
          <w:szCs w:val="21"/>
        </w:rPr>
        <w:t>，以便及时为您安排会务并发确认函，谢谢支持！</w:t>
      </w:r>
    </w:p>
    <w:p>
      <w:pPr>
        <w:spacing w:line="320" w:lineRule="exact"/>
        <w:jc w:val="left"/>
        <w:rPr>
          <w:rFonts w:ascii="微软雅黑" w:hAnsi="微软雅黑" w:eastAsia="微软雅黑" w:cs="微软雅黑"/>
          <w:color w:val="CC0000"/>
          <w:szCs w:val="21"/>
        </w:rPr>
      </w:pPr>
      <w:r>
        <w:rPr>
          <w:rFonts w:hint="eastAsia" w:ascii="微软雅黑" w:hAnsi="微软雅黑" w:eastAsia="微软雅黑" w:cs="微软雅黑"/>
          <w:color w:val="CC0000"/>
          <w:szCs w:val="21"/>
        </w:rPr>
        <w:t xml:space="preserve">1.请您把报名回执认真填好后回传我司，为确保您报名无误,请您再次电话确认! </w:t>
      </w:r>
      <w:r>
        <w:rPr>
          <w:rFonts w:hint="eastAsia" w:ascii="微软雅黑" w:hAnsi="微软雅黑" w:eastAsia="微软雅黑" w:cs="微软雅黑"/>
          <w:color w:val="CC0000"/>
          <w:szCs w:val="21"/>
        </w:rPr>
        <w:tab/>
      </w:r>
      <w:r>
        <w:rPr>
          <w:rFonts w:hint="eastAsia" w:ascii="微软雅黑" w:hAnsi="微软雅黑" w:eastAsia="微软雅黑" w:cs="微软雅黑"/>
          <w:color w:val="CC0000"/>
          <w:szCs w:val="21"/>
        </w:rPr>
        <w:tab/>
      </w:r>
    </w:p>
    <w:p>
      <w:pPr>
        <w:spacing w:line="320" w:lineRule="exact"/>
        <w:jc w:val="left"/>
        <w:rPr>
          <w:rFonts w:ascii="微软雅黑" w:hAnsi="微软雅黑" w:eastAsia="微软雅黑" w:cs="微软雅黑"/>
          <w:color w:val="CC0000"/>
          <w:szCs w:val="21"/>
        </w:rPr>
      </w:pPr>
      <w:r>
        <w:rPr>
          <w:rFonts w:hint="eastAsia" w:ascii="微软雅黑" w:hAnsi="微软雅黑" w:eastAsia="微软雅黑" w:cs="微软雅黑"/>
          <w:color w:val="CC0000"/>
          <w:szCs w:val="21"/>
        </w:rPr>
        <w:t>2.本课程可针对企业需求，上门服务，组织内训，欢迎咨询。</w:t>
      </w:r>
    </w:p>
    <w:p>
      <w:pPr>
        <w:spacing w:line="320" w:lineRule="exact"/>
        <w:jc w:val="left"/>
        <w:rPr>
          <w:rFonts w:ascii="微软雅黑" w:hAnsi="微软雅黑" w:eastAsia="微软雅黑" w:cs="微软雅黑"/>
          <w:color w:val="CC0000"/>
          <w:szCs w:val="21"/>
        </w:rPr>
      </w:pPr>
      <w:r>
        <w:rPr>
          <w:rFonts w:hint="eastAsia" w:ascii="微软雅黑" w:hAnsi="微软雅黑" w:eastAsia="微软雅黑" w:cs="微软雅黑"/>
          <w:color w:val="CC0000"/>
          <w:szCs w:val="21"/>
        </w:rPr>
        <w:t>3.请参会学员准备名片,以便学员间交流学习。</w:t>
      </w:r>
    </w:p>
    <w:p/>
    <w:sectPr>
      <w:headerReference r:id="rId3" w:type="default"/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值得信赖的企业管理培训专家</w: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ED65688"/>
    <w:rsid w:val="002F4B8B"/>
    <w:rsid w:val="00435394"/>
    <w:rsid w:val="005F70BA"/>
    <w:rsid w:val="006B2510"/>
    <w:rsid w:val="007E0685"/>
    <w:rsid w:val="008162A3"/>
    <w:rsid w:val="008866E5"/>
    <w:rsid w:val="009335F6"/>
    <w:rsid w:val="00BD5A6B"/>
    <w:rsid w:val="00C93C3D"/>
    <w:rsid w:val="00F9658F"/>
    <w:rsid w:val="21CA4E58"/>
    <w:rsid w:val="2BBB763D"/>
    <w:rsid w:val="4ED65688"/>
    <w:rsid w:val="6CBE7F88"/>
    <w:rsid w:val="7524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99"/>
    <w:rPr>
      <w:color w:val="0563C1" w:themeColor="hyperlink"/>
      <w:u w:val="single"/>
    </w:rPr>
  </w:style>
  <w:style w:type="character" w:customStyle="1" w:styleId="9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10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1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740</Words>
  <Characters>4223</Characters>
  <Lines>35</Lines>
  <Paragraphs>9</Paragraphs>
  <TotalTime>0</TotalTime>
  <ScaleCrop>false</ScaleCrop>
  <LinksUpToDate>false</LinksUpToDate>
  <CharactersWithSpaces>4954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2016-12-23T02:52:00Z</dcterms:created>
  <dc:creator>Administrator</dc:creator>
  <cp:lastModifiedBy>Administrator</cp:lastModifiedBy>
  <dcterms:modified xsi:type="dcterms:W3CDTF">2017-04-18T02:39:09Z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