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935" distR="114935" simplePos="0" relativeHeight="25178726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-921385</wp:posOffset>
            </wp:positionV>
            <wp:extent cx="7569200" cy="10704830"/>
            <wp:effectExtent l="0" t="0" r="12700" b="1270"/>
            <wp:wrapNone/>
            <wp:docPr id="10" name="图片 10" descr="内训封面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内训封面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27940</wp:posOffset>
                </wp:positionV>
                <wp:extent cx="6840220" cy="129222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220" cy="129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900" w:lineRule="exact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72"/>
                                <w:szCs w:val="1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简单高效的管理实践与企业文化建设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5pt;margin-top:2.2pt;height:101.75pt;width:538.6pt;z-index:251688960;mso-width-relative:page;mso-height-relative:page;" filled="f" stroked="f" coordsize="21600,21600" o:gfxdata="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lk6ana&#10;AAAACQEAAA8AAAAAAAAAAQAgAAAAIgAAAGRycy9kb3ducmV2LnhtbFBLAQIUABQAAAAIAIdO4kDR&#10;q3zqHgIAABkEAAAOAAAAAAAAAAEAIAAAACk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900" w:lineRule="exact"/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72"/>
                          <w:szCs w:val="1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72"/>
                          <w:szCs w:val="1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简单高效的管理实践与企业文化建设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172085</wp:posOffset>
                </wp:positionV>
                <wp:extent cx="7360285" cy="181800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0285" cy="1818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学习对象：企业负责人、高层管理者</w:t>
                            </w:r>
                          </w:p>
                          <w:p>
                            <w:pPr>
                              <w:spacing w:line="44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授课讲师：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廖老师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原华为HR资深顾问/畅销书《先学半个华为》作者</w:t>
                            </w:r>
                          </w:p>
                          <w:p>
                            <w:pPr>
                              <w:spacing w:line="44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标准课时：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课时（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天）</w:t>
                            </w:r>
                          </w:p>
                          <w:p>
                            <w:pPr>
                              <w:spacing w:line="44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学习费用：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9800/人</w:t>
                            </w:r>
                          </w:p>
                          <w:p>
                            <w:pPr>
                              <w:spacing w:line="44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上课时间：2019年3月29-30日上海   5月24-25日上海  9月26-27日杭州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05pt;margin-top:13.55pt;height:143.15pt;width:579.55pt;z-index:251720704;mso-width-relative:page;mso-height-relative:page;" filled="f" stroked="f" coordsize="21600,21600" o:gfxdata="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n&#10;023K2wAAAAoBAAAPAAAAAAAAAAEAIAAAACIAAABkcnMvZG93bnJldi54bWxQSwECFAAUAAAACACH&#10;TuJAf0wKPSECAAAZ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jc w:val="left"/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学习对象：企业负责人、高层管理者</w:t>
                      </w:r>
                    </w:p>
                    <w:p>
                      <w:pPr>
                        <w:spacing w:line="440" w:lineRule="exact"/>
                        <w:jc w:val="left"/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授课讲师：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廖老师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原华为HR资深顾问/畅销书《先学半个华为》作者</w:t>
                      </w:r>
                    </w:p>
                    <w:p>
                      <w:pPr>
                        <w:spacing w:line="44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标准课时：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课时（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天）</w:t>
                      </w:r>
                    </w:p>
                    <w:p>
                      <w:pPr>
                        <w:spacing w:line="44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学习费用：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9800/人</w:t>
                      </w:r>
                    </w:p>
                    <w:p>
                      <w:pPr>
                        <w:spacing w:line="44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上课时间：2019年3月29-30日上海   5月24-25日上海  9月26-27日杭州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宋体" w:hAnsi="宋体" w:cs="宋体"/>
          <w:b/>
          <w:bCs/>
          <w:color w:val="353535"/>
          <w:szCs w:val="21"/>
        </w:rPr>
      </w:pPr>
      <w:r>
        <w:rPr>
          <w:rFonts w:hint="eastAsia" w:ascii="微软雅黑" w:hAnsi="微软雅黑" w:eastAsia="微软雅黑" w:cs="微软雅黑"/>
          <w:b/>
          <w:color w:val="C00000"/>
          <w:sz w:val="24"/>
          <w:szCs w:val="24"/>
        </w:rPr>
        <w:t>| 课程背景：</w:t>
      </w:r>
    </w:p>
    <w:p>
      <w:pPr>
        <w:numPr>
          <w:ilvl w:val="0"/>
          <w:numId w:val="0"/>
        </w:numPr>
        <w:spacing w:line="440" w:lineRule="exact"/>
        <w:rPr>
          <w:rFonts w:hint="eastAsia" w:ascii="微软雅黑" w:hAnsi="微软雅黑" w:eastAsia="微软雅黑" w:cs="微软雅黑"/>
          <w:color w:val="3F3F3F"/>
          <w:sz w:val="20"/>
        </w:rPr>
      </w:pPr>
      <w:r>
        <w:rPr>
          <w:rFonts w:hint="eastAsia" w:ascii="微软雅黑" w:hAnsi="微软雅黑" w:eastAsia="微软雅黑" w:cs="微软雅黑"/>
          <w:color w:val="3F3F3F"/>
          <w:sz w:val="20"/>
        </w:rPr>
        <w:t xml:space="preserve">看华为不仅仅是世界500强企业，在短短的28年时间里从投资2万元到2016年实现销售收入达5200亿元的世界级通信企业，持续保持行业全球领先。近几年在全球经济衰退、国内经济增长低迷的复杂经济形式下，华为靠什么在如此激烈的竞争环境下逆袭发展，是什么管理基因推动企业的持续增长？正如任正非说：“管理第一，技术第二；我们正走在西方的路上；华为管理没有秘密，任何人都可以学，都可以学的会”。本课程通过华为20多年发展历程管理实践经验的梳理和总结，全面真实的案例呈现，多角度解读华为的管理实践和企业文化建设。学习标杆，与巨人同行，从危局迈向重生、从平庸走向优秀，从优秀迈向卓越，华为的管理实践和文化建设将给你带来全新的启发和思考。 </w:t>
      </w:r>
    </w:p>
    <w:p>
      <w:pPr>
        <w:numPr>
          <w:ilvl w:val="0"/>
          <w:numId w:val="0"/>
        </w:numPr>
        <w:spacing w:line="440" w:lineRule="exact"/>
        <w:rPr>
          <w:rFonts w:hint="eastAsia" w:ascii="微软雅黑" w:hAnsi="微软雅黑" w:eastAsia="微软雅黑" w:cs="微软雅黑"/>
          <w:color w:val="3F3F3F"/>
          <w:sz w:val="20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C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C00000"/>
          <w:sz w:val="24"/>
          <w:szCs w:val="24"/>
        </w:rPr>
        <w:t xml:space="preserve">| </w:t>
      </w:r>
      <w:r>
        <w:rPr>
          <w:rFonts w:ascii="微软雅黑" w:hAnsi="微软雅黑" w:eastAsia="微软雅黑" w:cs="微软雅黑"/>
          <w:b/>
          <w:color w:val="C00000"/>
          <w:sz w:val="24"/>
          <w:szCs w:val="24"/>
        </w:rPr>
        <w:t>课程</w:t>
      </w:r>
      <w:r>
        <w:rPr>
          <w:rFonts w:hint="eastAsia" w:ascii="微软雅黑" w:hAnsi="微软雅黑" w:eastAsia="微软雅黑" w:cs="微软雅黑"/>
          <w:b/>
          <w:color w:val="C00000"/>
          <w:sz w:val="24"/>
          <w:szCs w:val="24"/>
        </w:rPr>
        <w:t xml:space="preserve">大纲： </w:t>
      </w:r>
    </w:p>
    <w:p>
      <w:pPr>
        <w:numPr>
          <w:ilvl w:val="0"/>
          <w:numId w:val="0"/>
        </w:numPr>
        <w:spacing w:line="300" w:lineRule="auto"/>
        <w:ind w:leftChars="0"/>
        <w:rPr>
          <w:rFonts w:hint="eastAsia" w:ascii="微软雅黑" w:hAnsi="微软雅黑" w:eastAsia="微软雅黑" w:cs="微软雅黑"/>
          <w:b/>
          <w:color w:val="0884C4"/>
          <w:sz w:val="28"/>
          <w:szCs w:val="36"/>
        </w:rPr>
      </w:pPr>
      <w:r>
        <w:rPr>
          <w:rFonts w:hint="eastAsia" w:ascii="微软雅黑" w:hAnsi="微软雅黑" w:eastAsia="微软雅黑" w:cs="微软雅黑"/>
          <w:b/>
          <w:color w:val="0884C4"/>
          <w:sz w:val="28"/>
          <w:szCs w:val="36"/>
        </w:rPr>
        <w:t>第一篇：华为简单高效的管理实践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一、以客户为中心的企业文化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1、统一思想、力出一孔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2、为客户服务是华为存在的唯一理由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3、“消灭”客户的“剩余时间”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二、比较优势的商业模式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1、厚积薄发，聚焦成就规模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2、“深淘滩，低作堰”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3、“鲜花插在牛粪上”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三、聚焦客户价值创造的经营模式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1、实施基于客户商业成功的经营要素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2、市场机制驱动商品思维取代产品思维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3、客户需求是一切管理变革的原动力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四、“主干清晰、末端灵活”的流程体系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1、“削足适履”，穿美国鞋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2、基于客户需求的端到端流程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3、“日落法则”流程优化应用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五、捕捉 “市场机会”的组织建设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1、从单兵英雄到狼狈组织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2、狼狈组织到“铁三角”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3、一线呼唤炮火“班长的战争”大平台+小前端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六、“大浪淘沙”的用人机制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1、秀才-士兵-士官-将军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2、干部的选拔与淘汰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3、“上甘岭上出将军”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七、“导向冲锋”的激励体系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1、知识资本化，虚拟股权到TUP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2、以奋斗者为本，拉开差距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3、力出一孔，利出一孔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【案例分享】华为公司管理实践中的典型系列案例</w:t>
      </w:r>
    </w:p>
    <w:p>
      <w:pPr>
        <w:numPr>
          <w:ilvl w:val="0"/>
          <w:numId w:val="0"/>
        </w:numPr>
        <w:spacing w:line="300" w:lineRule="auto"/>
        <w:ind w:leftChars="0"/>
        <w:rPr>
          <w:rFonts w:hint="eastAsia" w:ascii="微软雅黑" w:hAnsi="微软雅黑" w:eastAsia="微软雅黑" w:cs="微软雅黑"/>
          <w:b/>
          <w:color w:val="0884C4"/>
          <w:sz w:val="28"/>
          <w:szCs w:val="36"/>
        </w:rPr>
      </w:pPr>
    </w:p>
    <w:p>
      <w:pPr>
        <w:numPr>
          <w:ilvl w:val="0"/>
          <w:numId w:val="0"/>
        </w:numPr>
        <w:spacing w:line="300" w:lineRule="auto"/>
        <w:ind w:leftChars="0"/>
        <w:rPr>
          <w:rFonts w:hint="eastAsia" w:ascii="微软雅黑" w:hAnsi="微软雅黑" w:eastAsia="微软雅黑" w:cs="微软雅黑"/>
          <w:b/>
          <w:color w:val="0884C4"/>
          <w:sz w:val="28"/>
          <w:szCs w:val="36"/>
        </w:rPr>
      </w:pPr>
      <w:r>
        <w:rPr>
          <w:rFonts w:hint="eastAsia" w:ascii="微软雅黑" w:hAnsi="微软雅黑" w:eastAsia="微软雅黑" w:cs="微软雅黑"/>
          <w:b/>
          <w:color w:val="0884C4"/>
          <w:sz w:val="28"/>
          <w:szCs w:val="36"/>
        </w:rPr>
        <w:t>第二篇：华为企业文化实践解读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一、资源是会枯竭的，唯有文化生生不息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1、任正非与华为的企业文化观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2、企业文化与企业管理的思想逻辑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3、文化核心价值观的稳定与开放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4、企业文化在本质上是一种利益分配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二、华为企业文化的形成过程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1、企业生存环境是文化形成的土壤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2、草莽创业的华为：本能生存的需要“狼文化”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3、1987年-1992年：创业阶段，口号满天飞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4、1992年-2000年：走出混沌-《华为基本法》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5、2000年-至今从哲学到实践：愿景-使命-价值观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三、企业文化的核心价值观解读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1、以客户为中心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2、以奋斗者为本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3、长期艰苦奋斗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4、持续自我批判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四、企业文化实践经验与启示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1、企业领导人核心作用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2、各级管理干部的传承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3、持续系统的文化宣贯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  <w:r>
        <w:rPr>
          <w:rFonts w:hint="eastAsia" w:ascii="微软雅黑" w:hAnsi="微软雅黑" w:eastAsia="微软雅黑"/>
          <w:sz w:val="24"/>
          <w:szCs w:val="21"/>
        </w:rPr>
        <w:t>4、流程制度与文化协同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  <w:lang w:eastAsia="zh-CN"/>
        </w:rPr>
      </w:pPr>
      <w:r>
        <w:rPr>
          <w:rFonts w:hint="eastAsia" w:ascii="微软雅黑" w:hAnsi="微软雅黑" w:eastAsia="微软雅黑"/>
          <w:sz w:val="24"/>
          <w:szCs w:val="21"/>
        </w:rPr>
        <w:t>【案例分享】华为公司企业文化塑造典型案</w:t>
      </w:r>
      <w:r>
        <w:rPr>
          <w:rFonts w:hint="eastAsia" w:ascii="微软雅黑" w:hAnsi="微软雅黑" w:eastAsia="微软雅黑"/>
          <w:sz w:val="24"/>
          <w:szCs w:val="21"/>
          <w:lang w:eastAsia="zh-CN"/>
        </w:rPr>
        <w:t>例</w:t>
      </w: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</w:p>
    <w:p>
      <w:pPr>
        <w:spacing w:line="300" w:lineRule="auto"/>
        <w:rPr>
          <w:rFonts w:hint="eastAsia" w:ascii="微软雅黑" w:hAnsi="微软雅黑" w:eastAsia="微软雅黑"/>
          <w:sz w:val="24"/>
          <w:szCs w:val="21"/>
        </w:rPr>
      </w:pPr>
    </w:p>
    <w:p>
      <w:pPr>
        <w:spacing w:line="300" w:lineRule="auto"/>
        <w:rPr>
          <w:rFonts w:hint="eastAsia" w:ascii="微软雅黑" w:hAnsi="微软雅黑" w:eastAsia="微软雅黑" w:cs="微软雅黑"/>
          <w:b/>
          <w:color w:val="0884C4"/>
          <w:sz w:val="28"/>
          <w:szCs w:val="36"/>
        </w:rPr>
      </w:pPr>
      <w:r>
        <w:rPr>
          <w:rFonts w:hint="eastAsia" w:ascii="微软雅黑" w:hAnsi="微软雅黑" w:eastAsia="微软雅黑" w:cs="微软雅黑"/>
          <w:b/>
          <w:color w:val="0884C4"/>
          <w:sz w:val="28"/>
          <w:szCs w:val="36"/>
        </w:rPr>
        <w:t>第三篇：总结与回顾</w:t>
      </w: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C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C00000"/>
          <w:sz w:val="24"/>
          <w:szCs w:val="24"/>
        </w:rPr>
        <w:t>| 讲师介绍：</w:t>
      </w: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  <w:r>
        <w:rPr>
          <w:rFonts w:ascii="华康俪金黑W8(P)" w:eastAsia="华康俪金黑W8(P)"/>
        </w:rPr>
        <w:drawing>
          <wp:anchor distT="0" distB="0" distL="114300" distR="114300" simplePos="0" relativeHeight="443235328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222250</wp:posOffset>
            </wp:positionV>
            <wp:extent cx="1478280" cy="1419860"/>
            <wp:effectExtent l="0" t="0" r="7620" b="8890"/>
            <wp:wrapNone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647" b="36799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1986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F3F3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1311275</wp:posOffset>
                </wp:positionH>
                <wp:positionV relativeFrom="paragraph">
                  <wp:posOffset>148590</wp:posOffset>
                </wp:positionV>
                <wp:extent cx="4250690" cy="893826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0690" cy="893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32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32"/>
                                <w:szCs w:val="28"/>
                              </w:rPr>
                              <w:t>廖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32"/>
                                <w:szCs w:val="28"/>
                                <w:lang w:eastAsia="zh-CN"/>
                              </w:rPr>
                              <w:t>老师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2"/>
                                <w:szCs w:val="21"/>
                              </w:rPr>
                              <w:t>原华为HR资深顾问/畅销书《先学半个华为》作者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2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2060"/>
                                <w:sz w:val="20"/>
                                <w:szCs w:val="18"/>
                              </w:rPr>
                              <w:t>职业经历：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  <w:t>曾任职于华为公司多年，参与和见证华为从数十亿到数千亿的发展历程，对华为管理体系具有独特的思考与总结，系统提炼出可供大部分企业参考和借鉴“道”与“术”，即一个基因和三个价值链，文化基因、战略管理价值链、业务管理价值链和人才管理价值链。目前已为数十家企业提供企业管理咨询服务，具有500场以上培训辅导经验，擅长战略与执行干部管理与流程组织变革等。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206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2060"/>
                                <w:sz w:val="20"/>
                                <w:szCs w:val="18"/>
                              </w:rPr>
                              <w:t>擅长领域：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33333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33333"/>
                                <w:sz w:val="18"/>
                                <w:szCs w:val="16"/>
                              </w:rPr>
                              <w:t>（一）华为标杆系列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  <w:t>《华为简单高效的管理与企业文化实践》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  <w:t>《华为管理模式的“道”与“术”》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  <w:t>《对标华为以客户为中心的经营管理体系》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  <w:t>《对标华为组织执行力提升系统》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33333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33333"/>
                                <w:sz w:val="18"/>
                                <w:szCs w:val="16"/>
                              </w:rPr>
                              <w:t>（二）中高层通用管理系类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  <w:t>《企业管理变革与流程管理实践》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  <w:t>《以客户为中心的流程管理与优化工作坊》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206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2060"/>
                                <w:sz w:val="20"/>
                                <w:szCs w:val="18"/>
                              </w:rPr>
                              <w:t>服务客户：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33333"/>
                                <w:sz w:val="18"/>
                                <w:szCs w:val="16"/>
                              </w:rPr>
                              <w:t>制造通讯与IT：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  <w:t>深圳电信、福建移动、新大陆、深信服科技、霍尼韦尔、朗天通信、帝信通信、水星家纺、罗莱家纺、昇兴股份等。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33333"/>
                                <w:sz w:val="18"/>
                                <w:szCs w:val="16"/>
                              </w:rPr>
                              <w:t>医药能源军工：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  <w:t>中恒集团、东北制药、翰宇药业、宛东生物、国药器械、航天805所、武汉船舶、北方星空（207所）、中国电子43所。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  <w:t>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33333"/>
                                <w:sz w:val="18"/>
                                <w:szCs w:val="16"/>
                              </w:rPr>
                              <w:t>融化工地产钢铁：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  <w:t>招商证券、浦发银行、中建五局、中铁一局、中建隧道、中国电建、武汉邮政等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33333"/>
                                <w:sz w:val="18"/>
                                <w:szCs w:val="16"/>
                              </w:rPr>
                              <w:t>其他行业：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333"/>
                                <w:sz w:val="18"/>
                                <w:szCs w:val="16"/>
                              </w:rPr>
                              <w:t>央视动画、广铁集团、重庆机场、厦门烟厂、贵州烟草、东贝集团、和林电子、象屿集团、华昌集团、国轩高科、五粮液等</w:t>
                            </w:r>
                          </w:p>
                        </w:txbxContent>
                      </wps:txbx>
                      <wps:bodyPr rot="0" vert="horz" wrap="square" lIns="91437" tIns="45720" rIns="91437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25pt;margin-top:11.7pt;height:703.8pt;width:334.7pt;z-index:253306880;mso-width-relative:page;mso-height-relative:page;" filled="f" stroked="f" coordsize="21600,21600" o:gfxdata="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DlpTX2gAAAAsBAAAPAAAAAAAAAAEAIAAAACIAAABk&#10;cnMvZG93bnJldi54bWxQSwECFAAUAAAACACHTuJAw8bsEAQCAADYAwAADgAAAAAAAAABACAAAAAp&#10;AQAAZHJzL2Uyb0RvYy54bWxQSwUGAAAAAAYABgBZAQAAnwUAAAAA&#10;">
                <v:fill on="f" focussize="0,0"/>
                <v:stroke on="f"/>
                <v:imagedata o:title=""/>
                <o:lock v:ext="edit" aspectratio="f"/>
                <v:textbox inset="7.19976377952756pt,1.27mm,7.19976377952756pt,1.27mm">
                  <w:txbxContent>
                    <w:p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32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32"/>
                          <w:szCs w:val="28"/>
                        </w:rPr>
                        <w:t>廖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32"/>
                          <w:szCs w:val="28"/>
                          <w:lang w:eastAsia="zh-CN"/>
                        </w:rPr>
                        <w:t>老师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2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2"/>
                          <w:szCs w:val="21"/>
                        </w:rPr>
                        <w:t>原华为HR资深顾问/畅销书《先学半个华为》作者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2"/>
                          <w:szCs w:val="21"/>
                        </w:rPr>
                      </w:pP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2060"/>
                          <w:sz w:val="20"/>
                          <w:szCs w:val="18"/>
                        </w:rPr>
                        <w:t>职业经历：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  <w:t>曾任职于华为公司多年，参与和见证华为从数十亿到数千亿的发展历程，对华为管理体系具有独特的思考与总结，系统提炼出可供大部分企业参考和借鉴“道”与“术”，即一个基因和三个价值链，文化基因、战略管理价值链、业务管理价值链和人才管理价值链。目前已为数十家企业提供企业管理咨询服务，具有500场以上培训辅导经验，擅长战略与执行干部管理与流程组织变革等。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</w:pP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2060"/>
                          <w:sz w:val="20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2060"/>
                          <w:sz w:val="20"/>
                          <w:szCs w:val="18"/>
                        </w:rPr>
                        <w:t>擅长领域：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33333"/>
                          <w:sz w:val="18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33333"/>
                          <w:sz w:val="18"/>
                          <w:szCs w:val="16"/>
                        </w:rPr>
                        <w:t>（一）华为标杆系列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  <w:t>《华为简单高效的管理与企业文化实践》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  <w:t>《华为管理模式的“道”与“术”》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  <w:t>《对标华为以客户为中心的经营管理体系》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  <w:t>《对标华为组织执行力提升系统》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33333"/>
                          <w:sz w:val="18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33333"/>
                          <w:sz w:val="18"/>
                          <w:szCs w:val="16"/>
                        </w:rPr>
                        <w:t>（二）中高层通用管理系类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  <w:t>《企业管理变革与流程管理实践》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  <w:t>《以客户为中心的流程管理与优化工作坊》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</w:pP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2060"/>
                          <w:sz w:val="20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2060"/>
                          <w:sz w:val="20"/>
                          <w:szCs w:val="18"/>
                        </w:rPr>
                        <w:t>服务客户：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33333"/>
                          <w:sz w:val="18"/>
                          <w:szCs w:val="16"/>
                        </w:rPr>
                        <w:t>制造通讯与IT：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  <w:t>深圳电信、福建移动、新大陆、深信服科技、霍尼韦尔、朗天通信、帝信通信、水星家纺、罗莱家纺、昇兴股份等。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33333"/>
                          <w:sz w:val="18"/>
                          <w:szCs w:val="16"/>
                        </w:rPr>
                        <w:t>医药能源军工：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  <w:t>中恒集团、东北制药、翰宇药业、宛东生物、国药器械、航天805所、武汉船舶、北方星空（207所）、中国电子43所。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  <w:t>金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33333"/>
                          <w:sz w:val="18"/>
                          <w:szCs w:val="16"/>
                        </w:rPr>
                        <w:t>融化工地产钢铁：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  <w:t>招商证券、浦发银行、中建五局、中铁一局、中建隧道、中国电建、武汉邮政等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33333"/>
                          <w:sz w:val="18"/>
                          <w:szCs w:val="16"/>
                        </w:rPr>
                        <w:t>其他行业：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33333"/>
                          <w:sz w:val="18"/>
                          <w:szCs w:val="16"/>
                        </w:rPr>
                        <w:t>央视动画、广铁集团、重庆机场、厦门烟厂、贵州烟草、东贝集团、和林电子、象屿集团、华昌集团、国轩高科、五粮液等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hint="eastAsia" w:ascii="宋体" w:hAnsi="宋体" w:eastAsia="宋体" w:cs="宋体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宋体" w:hAnsi="宋体" w:eastAsia="宋体" w:cs="宋体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咨询电话：</w:t>
      </w:r>
      <w:r>
        <w:rPr>
          <w:rFonts w:hint="eastAsia" w:ascii="宋体" w:hAnsi="宋体" w:cs="宋体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400-086-8596</w:t>
      </w:r>
    </w:p>
    <w:bookmarkEnd w:id="0"/>
    <w:p>
      <w:pPr>
        <w:spacing w:line="440" w:lineRule="exact"/>
        <w:jc w:val="left"/>
        <w:rPr>
          <w:rFonts w:hint="eastAsia" w:ascii="微软雅黑" w:hAnsi="微软雅黑" w:eastAsia="微软雅黑" w:cs="微软雅黑"/>
          <w:b/>
          <w:color w:val="0070C0"/>
          <w:sz w:val="24"/>
          <w:szCs w:val="24"/>
          <w:lang w:eastAsia="zh-CN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tbl>
      <w:tblPr>
        <w:tblStyle w:val="7"/>
        <w:tblW w:w="1009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7"/>
        <w:gridCol w:w="959"/>
        <w:gridCol w:w="2038"/>
        <w:gridCol w:w="2947"/>
        <w:gridCol w:w="1110"/>
        <w:gridCol w:w="147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  <w:jc w:val="center"/>
        </w:trPr>
        <w:tc>
          <w:tcPr>
            <w:tcW w:w="10093" w:type="dxa"/>
            <w:gridSpan w:val="6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C00000"/>
            <w:vAlign w:val="center"/>
          </w:tcPr>
          <w:p>
            <w:pPr>
              <w:spacing w:line="900" w:lineRule="exact"/>
              <w:jc w:val="center"/>
              <w:rPr>
                <w:rFonts w:hint="eastAsia" w:ascii="微软雅黑" w:hAnsi="微软雅黑" w:eastAsia="微软雅黑"/>
                <w:bCs/>
                <w:color w:val="FFFFFF" w:themeColor="background1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color w:val="FFFFFF" w:themeColor="background1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  <w:t>《</w:t>
            </w: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  <w:t>简单高效的管理实践与企业文化建设</w:t>
            </w:r>
            <w:r>
              <w:rPr>
                <w:rFonts w:hint="eastAsia" w:ascii="微软雅黑" w:hAnsi="微软雅黑" w:eastAsia="微软雅黑"/>
                <w:bCs/>
                <w:color w:val="FFFFFF" w:themeColor="background1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  <w:t>》</w:t>
            </w:r>
          </w:p>
          <w:p>
            <w:pPr>
              <w:spacing w:line="600" w:lineRule="exact"/>
              <w:ind w:firstLine="4160" w:firstLineChars="1300"/>
              <w:jc w:val="both"/>
              <w:rPr>
                <w:rFonts w:hint="eastAsia" w:ascii="微软雅黑" w:hAnsi="微软雅黑" w:eastAsia="微软雅黑"/>
                <w:bCs/>
                <w:color w:val="FFFFFF" w:themeColor="background1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color w:val="FFFFFF" w:themeColor="background1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  <w:t>报名表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093" w:type="dxa"/>
            <w:gridSpan w:val="6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7E7E7E" w:themeFill="background1" w:themeFillShade="7F"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  <w:color w:val="000000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color w:val="FFFFFF" w:themeColor="background1"/>
                <w:sz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支付汇款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  <w:jc w:val="center"/>
        </w:trPr>
        <w:tc>
          <w:tcPr>
            <w:tcW w:w="10093" w:type="dxa"/>
            <w:gridSpan w:val="6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color w:val="000000"/>
                <w:sz w:val="24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</w:rPr>
              <w:t>汇款账户：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color w:val="000000"/>
                <w:sz w:val="24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</w:rPr>
              <w:t>单位名称：上海乔诺企业管理咨询有限公司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color w:val="000000"/>
                <w:sz w:val="24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</w:rPr>
              <w:t>银行账号：</w:t>
            </w:r>
            <w:r>
              <w:rPr>
                <w:rFonts w:ascii="微软雅黑" w:hAnsi="微软雅黑" w:eastAsia="微软雅黑"/>
                <w:color w:val="000000"/>
                <w:sz w:val="24"/>
              </w:rPr>
              <w:t>3105 0174 5300 0000 0106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color w:val="000000"/>
                <w:sz w:val="24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</w:rPr>
              <w:t>开 户 行：中国建设银行股份有限公司上海临空支行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0093" w:type="dxa"/>
            <w:gridSpan w:val="6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7E7E7E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000000"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color w:val="FFFFFF" w:themeColor="background1"/>
                <w:sz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报名信息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7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7E7E7E" w:themeFill="background1" w:themeFillShade="7F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24"/>
                <w:shd w:val="clear" w:color="auto" w:fill="FEF2CC" w:themeFill="accent4" w:themeFillTint="33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序号</w:t>
            </w:r>
          </w:p>
        </w:tc>
        <w:tc>
          <w:tcPr>
            <w:tcW w:w="959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7E7E7E" w:themeFill="background1" w:themeFillShade="7F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姓名</w:t>
            </w:r>
          </w:p>
        </w:tc>
        <w:tc>
          <w:tcPr>
            <w:tcW w:w="2038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7E7E7E" w:themeFill="background1" w:themeFillShade="7F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手机号</w:t>
            </w:r>
          </w:p>
        </w:tc>
        <w:tc>
          <w:tcPr>
            <w:tcW w:w="2947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7E7E7E" w:themeFill="background1" w:themeFillShade="7F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邮箱</w:t>
            </w:r>
          </w:p>
        </w:tc>
        <w:tc>
          <w:tcPr>
            <w:tcW w:w="1110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7E7E7E" w:themeFill="background1" w:themeFillShade="7F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部门</w:t>
            </w:r>
          </w:p>
        </w:tc>
        <w:tc>
          <w:tcPr>
            <w:tcW w:w="1472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7E7E7E" w:themeFill="background1" w:themeFillShade="7F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职位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7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000000"/>
                <w:sz w:val="24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</w:rPr>
              <w:t>1</w:t>
            </w:r>
          </w:p>
        </w:tc>
        <w:tc>
          <w:tcPr>
            <w:tcW w:w="959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  <w:tc>
          <w:tcPr>
            <w:tcW w:w="2038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  <w:tc>
          <w:tcPr>
            <w:tcW w:w="2947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  <w:tc>
          <w:tcPr>
            <w:tcW w:w="1110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  <w:tc>
          <w:tcPr>
            <w:tcW w:w="1472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7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000000"/>
                <w:sz w:val="24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</w:rPr>
              <w:t>2</w:t>
            </w:r>
          </w:p>
        </w:tc>
        <w:tc>
          <w:tcPr>
            <w:tcW w:w="959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  <w:tc>
          <w:tcPr>
            <w:tcW w:w="2038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  <w:tc>
          <w:tcPr>
            <w:tcW w:w="2947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  <w:tc>
          <w:tcPr>
            <w:tcW w:w="1110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  <w:tc>
          <w:tcPr>
            <w:tcW w:w="1472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7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000000"/>
                <w:sz w:val="24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</w:rPr>
              <w:t>3</w:t>
            </w:r>
          </w:p>
        </w:tc>
        <w:tc>
          <w:tcPr>
            <w:tcW w:w="959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  <w:tc>
          <w:tcPr>
            <w:tcW w:w="2038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  <w:tc>
          <w:tcPr>
            <w:tcW w:w="2947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  <w:tc>
          <w:tcPr>
            <w:tcW w:w="1110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  <w:tc>
          <w:tcPr>
            <w:tcW w:w="1472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7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000000"/>
                <w:sz w:val="24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</w:rPr>
              <w:t>4</w:t>
            </w:r>
          </w:p>
        </w:tc>
        <w:tc>
          <w:tcPr>
            <w:tcW w:w="959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  <w:tc>
          <w:tcPr>
            <w:tcW w:w="2038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  <w:tc>
          <w:tcPr>
            <w:tcW w:w="2947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  <w:tc>
          <w:tcPr>
            <w:tcW w:w="1110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  <w:tc>
          <w:tcPr>
            <w:tcW w:w="1472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7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000000"/>
                <w:sz w:val="24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</w:rPr>
              <w:t>5</w:t>
            </w:r>
          </w:p>
        </w:tc>
        <w:tc>
          <w:tcPr>
            <w:tcW w:w="959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  <w:tc>
          <w:tcPr>
            <w:tcW w:w="2038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  <w:tc>
          <w:tcPr>
            <w:tcW w:w="2947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  <w:tc>
          <w:tcPr>
            <w:tcW w:w="1110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  <w:tc>
          <w:tcPr>
            <w:tcW w:w="1472" w:type="dxa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0093" w:type="dxa"/>
            <w:gridSpan w:val="6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7E7E7E" w:themeFill="background1" w:themeFillShade="7F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/>
                <w:color w:val="000000"/>
                <w:sz w:val="24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对接人信息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5" w:hRule="atLeast"/>
          <w:jc w:val="center"/>
        </w:trPr>
        <w:tc>
          <w:tcPr>
            <w:tcW w:w="10093" w:type="dxa"/>
            <w:gridSpan w:val="6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color w:val="000000"/>
                <w:sz w:val="24"/>
              </w:rPr>
            </w:pPr>
            <w:r>
              <w:rPr>
                <w:rFonts w:ascii="微软雅黑" w:hAnsi="微软雅黑" w:eastAsia="微软雅黑"/>
                <w:color w:val="000000"/>
                <w:sz w:val="24"/>
              </w:rPr>
              <w:t xml:space="preserve">姓名：      </w:t>
            </w:r>
            <w:r>
              <w:rPr>
                <w:rFonts w:hint="eastAsia" w:ascii="微软雅黑" w:hAnsi="微软雅黑" w:eastAsia="微软雅黑"/>
                <w:color w:val="000000"/>
                <w:sz w:val="24"/>
              </w:rPr>
              <w:t xml:space="preserve">                       手机</w:t>
            </w:r>
            <w:r>
              <w:rPr>
                <w:rFonts w:ascii="微软雅黑" w:hAnsi="微软雅黑" w:eastAsia="微软雅黑"/>
                <w:color w:val="000000"/>
                <w:sz w:val="24"/>
              </w:rPr>
              <w:t xml:space="preserve">号码：           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color w:val="000000"/>
                <w:sz w:val="24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</w:rPr>
              <w:t>邮箱</w:t>
            </w:r>
            <w:r>
              <w:rPr>
                <w:rFonts w:ascii="微软雅黑" w:hAnsi="微软雅黑" w:eastAsia="微软雅黑"/>
                <w:color w:val="000000"/>
                <w:sz w:val="24"/>
              </w:rPr>
              <w:t xml:space="preserve">：            </w:t>
            </w:r>
            <w:r>
              <w:rPr>
                <w:rFonts w:hint="eastAsia" w:ascii="微软雅黑" w:hAnsi="微软雅黑" w:eastAsia="微软雅黑"/>
                <w:color w:val="000000"/>
                <w:sz w:val="24"/>
              </w:rPr>
              <w:t xml:space="preserve">                 职位</w:t>
            </w:r>
            <w:r>
              <w:rPr>
                <w:rFonts w:ascii="微软雅黑" w:hAnsi="微软雅黑" w:eastAsia="微软雅黑"/>
                <w:color w:val="000000"/>
                <w:sz w:val="24"/>
              </w:rPr>
              <w:t>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10093" w:type="dxa"/>
            <w:gridSpan w:val="6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7E7E7E"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  <w:color w:val="FFFFFF" w:themeColor="background1"/>
                <w:sz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公司</w:t>
            </w:r>
            <w:r>
              <w:rPr>
                <w:rFonts w:hint="eastAsia" w:ascii="微软雅黑" w:hAnsi="微软雅黑" w:eastAsia="微软雅黑"/>
                <w:color w:val="FFFFFF" w:themeColor="background1"/>
                <w:sz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开票</w:t>
            </w:r>
          </w:p>
          <w:p>
            <w:pPr>
              <w:jc w:val="center"/>
              <w:rPr>
                <w:rFonts w:hint="eastAsia" w:ascii="微软雅黑" w:hAnsi="微软雅黑" w:eastAsia="微软雅黑"/>
                <w:color w:val="000000"/>
                <w:sz w:val="24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（发票抬头及税号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必填</w:t>
            </w:r>
            <w:r>
              <w:rPr>
                <w:rFonts w:hint="eastAsia" w:ascii="微软雅黑" w:hAnsi="微软雅黑" w:eastAsia="微软雅黑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，如需开具增值税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专用</w:t>
            </w:r>
            <w:r>
              <w:rPr>
                <w:rFonts w:hint="eastAsia" w:ascii="微软雅黑" w:hAnsi="微软雅黑" w:eastAsia="微软雅黑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发票请提供详细开票信息）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4" w:hRule="atLeast"/>
          <w:jc w:val="center"/>
        </w:trPr>
        <w:tc>
          <w:tcPr>
            <w:tcW w:w="10093" w:type="dxa"/>
            <w:gridSpan w:val="6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  <w:jc w:val="center"/>
        </w:trPr>
        <w:tc>
          <w:tcPr>
            <w:tcW w:w="10093" w:type="dxa"/>
            <w:gridSpan w:val="6"/>
            <w:tcBorders>
              <w:top w:val="dotted" w:color="BEBEBE" w:sz="4" w:space="0"/>
              <w:left w:val="dotted" w:color="BEBEBE" w:sz="4" w:space="0"/>
              <w:bottom w:val="dotted" w:color="BEBEBE" w:sz="4" w:space="0"/>
              <w:right w:val="dotted" w:color="BEBEBE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/>
                <w:color w:val="000000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  <w:lang w:eastAsia="zh-CN"/>
              </w:rPr>
              <w:t>合作流程：顾问服务——支付汇款——填写信息——公司开票——现场服务</w:t>
            </w:r>
          </w:p>
        </w:tc>
      </w:tr>
    </w:tbl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spacing w:line="440" w:lineRule="exact"/>
        <w:jc w:val="left"/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>
      <w:pPr>
        <w:rPr>
          <w:rFonts w:ascii="微软雅黑" w:hAnsi="微软雅黑" w:eastAsia="微软雅黑" w:cs="微软雅黑"/>
          <w:b/>
          <w:color w:val="0070C0"/>
          <w:sz w:val="24"/>
          <w:szCs w:val="24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headerReference r:id="rId3" w:type="default"/>
      <w:footerReference r:id="rId4" w:type="default"/>
      <w:pgSz w:w="16838" w:h="11906" w:orient="landscape"/>
      <w:pgMar w:top="1797" w:right="1440" w:bottom="1797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康俪金黑W8(P)">
    <w:altName w:val="黑体"/>
    <w:panose1 w:val="020B0800000000000000"/>
    <w:charset w:val="86"/>
    <w:family w:val="swiss"/>
    <w:pitch w:val="default"/>
    <w:sig w:usb0="00000000" w:usb1="00000000" w:usb2="0000001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520700</wp:posOffset>
              </wp:positionH>
              <wp:positionV relativeFrom="paragraph">
                <wp:posOffset>151130</wp:posOffset>
              </wp:positionV>
              <wp:extent cx="4123690" cy="36195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23690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400" w:lineRule="exact"/>
                            <w:jc w:val="distribute"/>
                            <w:rPr>
                              <w:rFonts w:ascii="微软雅黑" w:hAnsi="微软雅黑" w:eastAsia="微软雅黑" w:cs="微软雅黑"/>
                              <w:color w:val="404040" w:themeColor="text1" w:themeTint="BF"/>
                              <w:szCs w:val="15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404040" w:themeColor="text1" w:themeTint="BF"/>
                              <w:szCs w:val="15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为企业成为行业领导者提供关键学习与咨询服务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1pt;margin-top:11.9pt;height:28.5pt;width:324.7pt;z-index:251659264;mso-width-relative:page;mso-height-relative:page;" filled="f" stroked="f" coordsize="21600,21600" o:gfxdata="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IFetLZ&#10;AAAACAEAAA8AAAAAAAAAAQAgAAAAIgAAAGRycy9kb3ducmV2LnhtbFBLAQIUABQAAAAIAIdO4kC6&#10;lwJNHwIAABgEAAAOAAAAAAAAAAEAIAAAACgBAABkcnMvZTJvRG9jLnhtbFBLBQYAAAAABgAGAFkB&#10;AAC5BQAAAAA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line="400" w:lineRule="exact"/>
                      <w:jc w:val="distribute"/>
                      <w:rPr>
                        <w:rFonts w:ascii="微软雅黑" w:hAnsi="微软雅黑" w:eastAsia="微软雅黑" w:cs="微软雅黑"/>
                        <w:color w:val="404040" w:themeColor="text1" w:themeTint="BF"/>
                        <w:szCs w:val="15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404040" w:themeColor="text1" w:themeTint="BF"/>
                        <w:szCs w:val="15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t>为企业成为行业领导者提供关键学习与咨询服务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-1156970</wp:posOffset>
              </wp:positionH>
              <wp:positionV relativeFrom="paragraph">
                <wp:posOffset>679450</wp:posOffset>
              </wp:positionV>
              <wp:extent cx="7580630" cy="99695"/>
              <wp:effectExtent l="0" t="0" r="1270" b="14605"/>
              <wp:wrapNone/>
              <wp:docPr id="8" name="矩形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160780" y="10475595"/>
                        <a:ext cx="7580630" cy="9969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91.1pt;margin-top:53.5pt;height:7.85pt;width:596.9pt;z-index:251660288;v-text-anchor:middle;mso-width-relative:page;mso-height-relative:page;" fillcolor="#0070C0" filled="t" stroked="f" coordsize="21600,21600" o:gfxdata="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Geaa2NwAAAANAQAADwAAAAAAAAABACAAAAAiAAAAZHJzL2Rvd25yZXYueG1sUEsBAhQAFAAAAAgA&#10;h07iQKEo2FVaAgAAiQQAAA4AAAAAAAAAAQAgAAAAKwEAAGRycy9lMm9Eb2MueG1sUEsFBgAAAAAG&#10;AAYAWQEAAPcFAAAAAA==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935" distR="114935" simplePos="0" relativeHeight="251661312" behindDoc="1" locked="0" layoutInCell="1" allowOverlap="1">
          <wp:simplePos x="0" y="0"/>
          <wp:positionH relativeFrom="column">
            <wp:posOffset>-1150620</wp:posOffset>
          </wp:positionH>
          <wp:positionV relativeFrom="paragraph">
            <wp:posOffset>-555625</wp:posOffset>
          </wp:positionV>
          <wp:extent cx="7593965" cy="789940"/>
          <wp:effectExtent l="0" t="0" r="6985" b="10160"/>
          <wp:wrapNone/>
          <wp:docPr id="5" name="图片 5" descr="内训页眉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内训页眉-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3965" cy="789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27A9"/>
    <w:rsid w:val="0001142A"/>
    <w:rsid w:val="00012B28"/>
    <w:rsid w:val="00026122"/>
    <w:rsid w:val="000368C1"/>
    <w:rsid w:val="00047A6B"/>
    <w:rsid w:val="00071C90"/>
    <w:rsid w:val="00097305"/>
    <w:rsid w:val="000A116C"/>
    <w:rsid w:val="000A2ED2"/>
    <w:rsid w:val="000B6985"/>
    <w:rsid w:val="000F6681"/>
    <w:rsid w:val="00102A26"/>
    <w:rsid w:val="0011419E"/>
    <w:rsid w:val="00114A5F"/>
    <w:rsid w:val="00115AA7"/>
    <w:rsid w:val="001419F7"/>
    <w:rsid w:val="00172A27"/>
    <w:rsid w:val="0019648A"/>
    <w:rsid w:val="001B3787"/>
    <w:rsid w:val="001B65AB"/>
    <w:rsid w:val="001C2B00"/>
    <w:rsid w:val="001C7AAA"/>
    <w:rsid w:val="00203583"/>
    <w:rsid w:val="00214A8A"/>
    <w:rsid w:val="002247DF"/>
    <w:rsid w:val="00244FE5"/>
    <w:rsid w:val="00246A68"/>
    <w:rsid w:val="00246F6F"/>
    <w:rsid w:val="002501C1"/>
    <w:rsid w:val="0025288B"/>
    <w:rsid w:val="00266900"/>
    <w:rsid w:val="0027201E"/>
    <w:rsid w:val="002F574F"/>
    <w:rsid w:val="00347137"/>
    <w:rsid w:val="00357D1C"/>
    <w:rsid w:val="00364122"/>
    <w:rsid w:val="003653C6"/>
    <w:rsid w:val="00384FAB"/>
    <w:rsid w:val="003B30BA"/>
    <w:rsid w:val="003D2B5A"/>
    <w:rsid w:val="003F3B65"/>
    <w:rsid w:val="00400D5A"/>
    <w:rsid w:val="00412017"/>
    <w:rsid w:val="00413CD7"/>
    <w:rsid w:val="004149D1"/>
    <w:rsid w:val="00435B66"/>
    <w:rsid w:val="00450BCD"/>
    <w:rsid w:val="00476E95"/>
    <w:rsid w:val="00480ED0"/>
    <w:rsid w:val="00492E1F"/>
    <w:rsid w:val="004A5D2F"/>
    <w:rsid w:val="004B064F"/>
    <w:rsid w:val="004B2DF2"/>
    <w:rsid w:val="00526D85"/>
    <w:rsid w:val="00527AFF"/>
    <w:rsid w:val="00544A91"/>
    <w:rsid w:val="00544CCF"/>
    <w:rsid w:val="00570839"/>
    <w:rsid w:val="00581AD5"/>
    <w:rsid w:val="00582BA3"/>
    <w:rsid w:val="00595316"/>
    <w:rsid w:val="0060535E"/>
    <w:rsid w:val="0062659B"/>
    <w:rsid w:val="0063079F"/>
    <w:rsid w:val="006A5944"/>
    <w:rsid w:val="006B109B"/>
    <w:rsid w:val="0071041E"/>
    <w:rsid w:val="007241A5"/>
    <w:rsid w:val="00763A4D"/>
    <w:rsid w:val="00786820"/>
    <w:rsid w:val="00786B53"/>
    <w:rsid w:val="007B1200"/>
    <w:rsid w:val="007C5E69"/>
    <w:rsid w:val="007F018A"/>
    <w:rsid w:val="00801ED0"/>
    <w:rsid w:val="008075AA"/>
    <w:rsid w:val="0081207D"/>
    <w:rsid w:val="008420E3"/>
    <w:rsid w:val="00864360"/>
    <w:rsid w:val="008674DE"/>
    <w:rsid w:val="00884D48"/>
    <w:rsid w:val="008C120B"/>
    <w:rsid w:val="008C4675"/>
    <w:rsid w:val="008C4917"/>
    <w:rsid w:val="008C4F97"/>
    <w:rsid w:val="00910810"/>
    <w:rsid w:val="00921BC2"/>
    <w:rsid w:val="00934C2A"/>
    <w:rsid w:val="00944BD4"/>
    <w:rsid w:val="009478C8"/>
    <w:rsid w:val="0098127B"/>
    <w:rsid w:val="00986158"/>
    <w:rsid w:val="00996126"/>
    <w:rsid w:val="009C2AEE"/>
    <w:rsid w:val="009D7FD2"/>
    <w:rsid w:val="009E0209"/>
    <w:rsid w:val="009E29C7"/>
    <w:rsid w:val="00A06126"/>
    <w:rsid w:val="00A268B5"/>
    <w:rsid w:val="00A7609C"/>
    <w:rsid w:val="00A8143B"/>
    <w:rsid w:val="00A820B4"/>
    <w:rsid w:val="00A92114"/>
    <w:rsid w:val="00AE2A75"/>
    <w:rsid w:val="00AE2D73"/>
    <w:rsid w:val="00AE7396"/>
    <w:rsid w:val="00AF3B50"/>
    <w:rsid w:val="00B34620"/>
    <w:rsid w:val="00B71ED5"/>
    <w:rsid w:val="00BB054C"/>
    <w:rsid w:val="00BB6713"/>
    <w:rsid w:val="00BC39ED"/>
    <w:rsid w:val="00BD1106"/>
    <w:rsid w:val="00BD656D"/>
    <w:rsid w:val="00BE49C4"/>
    <w:rsid w:val="00BF7FBC"/>
    <w:rsid w:val="00C05006"/>
    <w:rsid w:val="00C14AB7"/>
    <w:rsid w:val="00C308B9"/>
    <w:rsid w:val="00C414E0"/>
    <w:rsid w:val="00C4160A"/>
    <w:rsid w:val="00C51D03"/>
    <w:rsid w:val="00C976EA"/>
    <w:rsid w:val="00CA2EC1"/>
    <w:rsid w:val="00CC4DB5"/>
    <w:rsid w:val="00CE192C"/>
    <w:rsid w:val="00D24A59"/>
    <w:rsid w:val="00D25225"/>
    <w:rsid w:val="00D377D0"/>
    <w:rsid w:val="00D402F5"/>
    <w:rsid w:val="00D52B40"/>
    <w:rsid w:val="00D53118"/>
    <w:rsid w:val="00D7505E"/>
    <w:rsid w:val="00D87660"/>
    <w:rsid w:val="00D90CBB"/>
    <w:rsid w:val="00D912B7"/>
    <w:rsid w:val="00DB5696"/>
    <w:rsid w:val="00DC032D"/>
    <w:rsid w:val="00DC1507"/>
    <w:rsid w:val="00DC1C1A"/>
    <w:rsid w:val="00DC316C"/>
    <w:rsid w:val="00DD0B4A"/>
    <w:rsid w:val="00DE6DFA"/>
    <w:rsid w:val="00DF34F5"/>
    <w:rsid w:val="00E6246F"/>
    <w:rsid w:val="00E6278D"/>
    <w:rsid w:val="00E70CBF"/>
    <w:rsid w:val="00E81A09"/>
    <w:rsid w:val="00E83860"/>
    <w:rsid w:val="00EC5335"/>
    <w:rsid w:val="00EE0422"/>
    <w:rsid w:val="00F02470"/>
    <w:rsid w:val="00F12765"/>
    <w:rsid w:val="00F538D3"/>
    <w:rsid w:val="00F67098"/>
    <w:rsid w:val="00F82B83"/>
    <w:rsid w:val="00F93323"/>
    <w:rsid w:val="00F94E76"/>
    <w:rsid w:val="00FF5084"/>
    <w:rsid w:val="00FF740E"/>
    <w:rsid w:val="035C5027"/>
    <w:rsid w:val="05004AA3"/>
    <w:rsid w:val="05FF4BA6"/>
    <w:rsid w:val="060774EA"/>
    <w:rsid w:val="065A716A"/>
    <w:rsid w:val="08DF270B"/>
    <w:rsid w:val="0A585633"/>
    <w:rsid w:val="0CB13319"/>
    <w:rsid w:val="0DDE28AD"/>
    <w:rsid w:val="11604615"/>
    <w:rsid w:val="16D91BF1"/>
    <w:rsid w:val="18B73710"/>
    <w:rsid w:val="18F605CB"/>
    <w:rsid w:val="19147E78"/>
    <w:rsid w:val="1AC04EAA"/>
    <w:rsid w:val="1B2D32CC"/>
    <w:rsid w:val="1EC615A2"/>
    <w:rsid w:val="1FC35F0A"/>
    <w:rsid w:val="225222B0"/>
    <w:rsid w:val="25240585"/>
    <w:rsid w:val="25814DD5"/>
    <w:rsid w:val="2851066F"/>
    <w:rsid w:val="29356345"/>
    <w:rsid w:val="29B64301"/>
    <w:rsid w:val="29EF3A63"/>
    <w:rsid w:val="2B1C328E"/>
    <w:rsid w:val="2D045A40"/>
    <w:rsid w:val="31B11A05"/>
    <w:rsid w:val="325547EA"/>
    <w:rsid w:val="34542700"/>
    <w:rsid w:val="34F43B0E"/>
    <w:rsid w:val="36640A7B"/>
    <w:rsid w:val="367F0250"/>
    <w:rsid w:val="39DB7CA9"/>
    <w:rsid w:val="3A970AD4"/>
    <w:rsid w:val="3B05685A"/>
    <w:rsid w:val="3E184274"/>
    <w:rsid w:val="3F89771B"/>
    <w:rsid w:val="420B4F10"/>
    <w:rsid w:val="430A6F33"/>
    <w:rsid w:val="445459FB"/>
    <w:rsid w:val="467A7A90"/>
    <w:rsid w:val="4794006A"/>
    <w:rsid w:val="48FD5333"/>
    <w:rsid w:val="4BC82930"/>
    <w:rsid w:val="4BCB7112"/>
    <w:rsid w:val="4CC36D71"/>
    <w:rsid w:val="4D45092C"/>
    <w:rsid w:val="4DC37A09"/>
    <w:rsid w:val="4FE12BE5"/>
    <w:rsid w:val="51277A00"/>
    <w:rsid w:val="517C5413"/>
    <w:rsid w:val="54E67C40"/>
    <w:rsid w:val="54F546D4"/>
    <w:rsid w:val="550C7785"/>
    <w:rsid w:val="56FE0FA0"/>
    <w:rsid w:val="57075398"/>
    <w:rsid w:val="584C3F39"/>
    <w:rsid w:val="587B4973"/>
    <w:rsid w:val="59992442"/>
    <w:rsid w:val="5BC5026C"/>
    <w:rsid w:val="5BEE4A68"/>
    <w:rsid w:val="608D741C"/>
    <w:rsid w:val="60927648"/>
    <w:rsid w:val="60BE1F63"/>
    <w:rsid w:val="61D84193"/>
    <w:rsid w:val="64093840"/>
    <w:rsid w:val="64677E71"/>
    <w:rsid w:val="663C2F6A"/>
    <w:rsid w:val="666974D3"/>
    <w:rsid w:val="677446E9"/>
    <w:rsid w:val="683425B0"/>
    <w:rsid w:val="69A90DD3"/>
    <w:rsid w:val="6C004A82"/>
    <w:rsid w:val="6C592217"/>
    <w:rsid w:val="6D1A113A"/>
    <w:rsid w:val="6EDC6DA3"/>
    <w:rsid w:val="6F8427B6"/>
    <w:rsid w:val="70812208"/>
    <w:rsid w:val="70A73534"/>
    <w:rsid w:val="72276669"/>
    <w:rsid w:val="74C9351B"/>
    <w:rsid w:val="786E03FC"/>
    <w:rsid w:val="78DD5A9F"/>
    <w:rsid w:val="79C70451"/>
    <w:rsid w:val="7C341C9F"/>
    <w:rsid w:val="7ED3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6">
    <w:name w:val="Hyperlink"/>
    <w:basedOn w:val="5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9">
    <w:name w:val="Default"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微软雅黑" w:hAnsi="微软雅黑" w:eastAsia="微软雅黑" w:cs="Times New Roman"/>
      <w:color w:val="000000"/>
      <w:sz w:val="24"/>
      <w:lang w:val="en-US" w:eastAsia="zh-CN" w:bidi="ar-SA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3DDAB3B-FE62-1946-BA76-F059B0D599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113</Words>
  <Characters>650</Characters>
  <Lines>5</Lines>
  <Paragraphs>1</Paragraphs>
  <TotalTime>10</TotalTime>
  <ScaleCrop>false</ScaleCrop>
  <LinksUpToDate>false</LinksUpToDate>
  <CharactersWithSpaces>762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2018-06-29T00:31:00Z</dcterms:created>
  <dc:creator>Administrator</dc:creator>
  <cp:lastModifiedBy>19152</cp:lastModifiedBy>
  <cp:lastPrinted>2016-12-02T05:36:00Z</cp:lastPrinted>
  <dcterms:modified xsi:type="dcterms:W3CDTF">2018-12-19T03:14:55Z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