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15"/>
          <w:szCs w:val="15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32"/>
        </w:rPr>
        <w:t>产品质量先期策划(APQP)&amp;生产件批准程序(PPAP)</w:t>
      </w:r>
      <w:r>
        <w:rPr>
          <w:rFonts w:hint="eastAsia" w:ascii="微软雅黑" w:hAnsi="微软雅黑" w:eastAsia="微软雅黑"/>
          <w:b/>
          <w:bCs/>
          <w:color w:val="FF0000"/>
          <w:sz w:val="22"/>
          <w:szCs w:val="32"/>
        </w:rPr>
        <w:t>（1天）</w:t>
      </w:r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（本课程属于《质量管理五大核心工具》第</w:t>
      </w:r>
      <w:r>
        <w:rPr>
          <w:rFonts w:ascii="微软雅黑" w:hAnsi="微软雅黑" w:eastAsia="微软雅黑"/>
          <w:bCs/>
          <w:color w:val="FF0000"/>
          <w:sz w:val="22"/>
          <w:szCs w:val="22"/>
        </w:rPr>
        <w:t>1</w:t>
      </w: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天的培训内容）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ascii="微软雅黑" w:hAnsi="微软雅黑" w:eastAsia="微软雅黑"/>
          <w:szCs w:val="21"/>
        </w:rPr>
        <w:t>06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ascii="微软雅黑" w:hAnsi="微软雅黑" w:eastAsia="微软雅黑"/>
          <w:szCs w:val="21"/>
        </w:rPr>
        <w:t>19</w:t>
      </w:r>
      <w:r>
        <w:rPr>
          <w:rFonts w:hint="eastAsia" w:ascii="微软雅黑" w:hAnsi="微软雅黑" w:eastAsia="微软雅黑"/>
          <w:szCs w:val="21"/>
        </w:rPr>
        <w:t>日  上海</w:t>
      </w:r>
      <w:r>
        <w:rPr>
          <w:rFonts w:ascii="微软雅黑" w:hAnsi="微软雅黑" w:eastAsia="微软雅黑"/>
          <w:szCs w:val="21"/>
        </w:rPr>
        <w:t xml:space="preserve">    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企业内开发、质量、营运副总,生产（制造）部经理、主管、工程师,质量管理部经理、主管、工程师，开发部经理、主管、工程师，技术部经理、主管、工程师及生产部班组长等</w:t>
      </w:r>
    </w:p>
    <w:p>
      <w:pPr>
        <w:spacing w:line="480" w:lineRule="auto"/>
        <w:jc w:val="both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1</w:t>
      </w:r>
      <w:r>
        <w:rPr>
          <w:rFonts w:ascii="微软雅黑" w:hAnsi="微软雅黑" w:eastAsia="微软雅黑"/>
          <w:b/>
          <w:szCs w:val="21"/>
        </w:rPr>
        <w:t>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通过强化培训，综合企业实际案例分析、小组讨论、指导等多种方法的灵活运用，使参加培训的人员能够：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了解APQP、PPAP、FMEA、MSA、SPC的逻辑体系和内在联系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明确实施APQP的过程重点和输出文件要求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明确作为APQP输出物的PPAP的文件和提交要求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APQP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一.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>APQP概述 APQP Overview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APQP</w:t>
      </w:r>
      <w:r>
        <w:rPr>
          <w:rFonts w:hint="eastAsia" w:ascii="微软雅黑" w:hAnsi="微软雅黑" w:eastAsia="微软雅黑" w:cs="宋体"/>
          <w:kern w:val="0"/>
          <w:szCs w:val="21"/>
        </w:rPr>
        <w:t>的核心理念：产品的质量和成本是设计出来的</w:t>
      </w:r>
      <w:r>
        <w:rPr>
          <w:rFonts w:ascii="微软雅黑" w:hAnsi="微软雅黑" w:eastAsia="微软雅黑" w:cs="宋体"/>
          <w:kern w:val="0"/>
          <w:szCs w:val="21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项目管理在</w:t>
      </w:r>
      <w:r>
        <w:rPr>
          <w:rFonts w:ascii="微软雅黑" w:hAnsi="微软雅黑" w:eastAsia="微软雅黑" w:cs="宋体"/>
          <w:kern w:val="0"/>
          <w:szCs w:val="21"/>
        </w:rPr>
        <w:t>APQP</w:t>
      </w:r>
      <w:r>
        <w:rPr>
          <w:rFonts w:hint="eastAsia" w:ascii="微软雅黑" w:hAnsi="微软雅黑" w:eastAsia="微软雅黑" w:cs="宋体"/>
          <w:kern w:val="0"/>
          <w:szCs w:val="21"/>
        </w:rPr>
        <w:t>中的应用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二.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定义和确定项目 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定义和确定项目的实施过程、输入及输出</w:t>
      </w:r>
      <w:bookmarkStart w:id="0" w:name="_GoBack"/>
      <w:bookmarkEnd w:id="0"/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如何建立项目团队并明确成员职责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材料清单的建立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过程流程图的建立与分析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质量特性的分级标准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三.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>产品设计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产品设计的实施过程、输入及输出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设计的控制方法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设备、工装、设施的要求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量具和试验设备清单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四.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>过程开发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过程开发的实施过程、输入及输出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如何确定产品特性和过程因素的关系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特性矩阵图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过程指导书和控制计划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五.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>产品和过程的确认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产品和过程确认的实施过程、输入及输出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试生产的实施和验证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六.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 回馈评定和纠正措施</w:t>
      </w:r>
    </w:p>
    <w:p>
      <w:pPr>
        <w:widowControl/>
        <w:numPr>
          <w:ilvl w:val="0"/>
          <w:numId w:val="7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回馈评定和纠正措施的实施过程、输入及输出</w:t>
      </w:r>
    </w:p>
    <w:p>
      <w:pPr>
        <w:widowControl/>
        <w:numPr>
          <w:ilvl w:val="0"/>
          <w:numId w:val="7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减少变差与持续改进</w:t>
      </w:r>
      <w:r>
        <w:rPr>
          <w:rFonts w:ascii="微软雅黑" w:hAnsi="微软雅黑" w:eastAsia="微软雅黑" w:cs="宋体"/>
          <w:kern w:val="0"/>
          <w:szCs w:val="21"/>
        </w:rPr>
        <w:t xml:space="preserve"> </w:t>
      </w:r>
    </w:p>
    <w:p>
      <w:pPr>
        <w:widowControl/>
        <w:numPr>
          <w:ilvl w:val="0"/>
          <w:numId w:val="7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PPAP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一、PPAP的适用性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二、PPAP要求提交的十九项资料和标准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三、PPAP的提交时机和通知要求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四、PPAP不需要提交的情况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五、PPAP的提交等级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rightChars="9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 w:val="23"/>
          <w:szCs w:val="23"/>
        </w:rPr>
        <w:t>上海大学 博士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  硕士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同济大学 硕士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精益生产 高级讲师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现场管理</w:t>
      </w:r>
      <w:r>
        <w:rPr>
          <w:rFonts w:ascii="微软雅黑" w:hAnsi="微软雅黑" w:eastAsia="微软雅黑"/>
          <w:bCs/>
          <w:szCs w:val="21"/>
        </w:rPr>
        <w:t>&amp;</w:t>
      </w:r>
      <w:r>
        <w:rPr>
          <w:rFonts w:hint="eastAsia" w:ascii="微软雅黑" w:hAnsi="微软雅黑" w:eastAsia="微软雅黑"/>
          <w:bCs/>
          <w:szCs w:val="21"/>
        </w:rPr>
        <w:t>现场改善培训师、咨询师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 w:cs="宋体"/>
        </w:rPr>
        <w:t>高级工程师证书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/>
          <w:spacing w:val="-9"/>
        </w:rPr>
        <w:t xml:space="preserve"> </w:t>
      </w:r>
      <w:r>
        <w:rPr>
          <w:rFonts w:ascii="微软雅黑" w:hAnsi="微软雅黑" w:eastAsia="微软雅黑"/>
        </w:rPr>
        <w:t>Sigma</w:t>
      </w:r>
      <w:r>
        <w:rPr>
          <w:rFonts w:ascii="微软雅黑" w:hAnsi="微软雅黑" w:eastAsia="微软雅黑" w:cs="宋体"/>
        </w:rPr>
        <w:t>绿带证书</w:t>
      </w:r>
    </w:p>
    <w:p>
      <w:pPr>
        <w:numPr>
          <w:ilvl w:val="0"/>
          <w:numId w:val="8"/>
        </w:numPr>
        <w:snapToGrid w:val="0"/>
        <w:ind w:left="105" w:leftChars="0" w:hanging="105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多次赴德国日本进行精益生产培训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特瑞堡密封系统（中国） 有限公司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3M中国有限公司（世界五百强多元化集团）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布莱史塔粉末冶金制品（上海）有限公司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/>
          <w:bCs/>
          <w:szCs w:val="21"/>
        </w:rPr>
        <w:t>谭</w:t>
      </w:r>
      <w:r>
        <w:rPr>
          <w:rFonts w:hint="eastAsia" w:ascii="微软雅黑" w:hAnsi="微软雅黑" w:eastAsia="微软雅黑"/>
        </w:rPr>
        <w:t>老师具有多年的培训经验验，能将自身的工作经验结合实际客户的需求，深入浅出地将知识传授给学员;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谭老师授课贴近实际：基于丰富的现场管理经验，谭老师的课程案例丰富且贴近实际，更容易让学员理解和接受;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谭老师授课形式多样：知识讲解、案例演示讲解、实战演练、小组讨论、头脑风暴、强调学员参与等多种形式，课堂气氛轻松活跃;</w:t>
      </w:r>
    </w:p>
    <w:p>
      <w:pPr>
        <w:pStyle w:val="23"/>
        <w:numPr>
          <w:ilvl w:val="0"/>
          <w:numId w:val="9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10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Lean Manufacturing 精益生产；</w:t>
      </w:r>
    </w:p>
    <w:p>
      <w:pPr>
        <w:numPr>
          <w:ilvl w:val="0"/>
          <w:numId w:val="10"/>
        </w:numPr>
        <w:snapToGrid w:val="0"/>
        <w:ind w:left="426" w:right="275" w:rightChars="131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5S现场管理和TPM改善；</w:t>
      </w: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工厂车间现场管理；</w:t>
      </w: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现场精益化管理改善与提升；</w:t>
      </w: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全面质量管理TQM；</w:t>
      </w: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项目管理；</w:t>
      </w:r>
    </w:p>
    <w:p>
      <w:pPr>
        <w:numPr>
          <w:ilvl w:val="0"/>
          <w:numId w:val="10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生产成本控制管理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现场质量问题分析与解决；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生产现场班组长管理技能培训；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APQP/PPAP/FMEA/SPC/MSA五大工具培训；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防错技术及有效解决问题方法；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QC七大工具</w:t>
      </w:r>
    </w:p>
    <w:p>
      <w:pPr>
        <w:numPr>
          <w:ilvl w:val="0"/>
          <w:numId w:val="10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8D方法培训。 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sz w:val="28"/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sz w:val="28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4"/>
        <w:gridCol w:w="1365"/>
        <w:gridCol w:w="2203"/>
        <w:gridCol w:w="134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3483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0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56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 优秀企业的合作伙伴  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E98AA"/>
    <w:multiLevelType w:val="singleLevel"/>
    <w:tmpl w:val="A38E98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3FCBEF0"/>
    <w:multiLevelType w:val="singleLevel"/>
    <w:tmpl w:val="A3FCBE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5DD474D"/>
    <w:multiLevelType w:val="singleLevel"/>
    <w:tmpl w:val="B5DD474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ABFB143"/>
    <w:multiLevelType w:val="singleLevel"/>
    <w:tmpl w:val="DABFB1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3D49A1A"/>
    <w:multiLevelType w:val="singleLevel"/>
    <w:tmpl w:val="13D49A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5991259"/>
    <w:multiLevelType w:val="multilevel"/>
    <w:tmpl w:val="259912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29CE4B9C"/>
    <w:multiLevelType w:val="singleLevel"/>
    <w:tmpl w:val="29CE4B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B8B5C8C"/>
    <w:multiLevelType w:val="multilevel"/>
    <w:tmpl w:val="4B8B5C8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8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37477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6AA8"/>
    <w:rsid w:val="002075A3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E5E6F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18C9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0642"/>
    <w:rsid w:val="005A1308"/>
    <w:rsid w:val="005A2C72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3665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A7C6D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9F7C0D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875A9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04B1C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52EC"/>
    <w:rsid w:val="00CF58F5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0AD6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53B7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2E44"/>
    <w:rsid w:val="00FF587B"/>
    <w:rsid w:val="05594C1D"/>
    <w:rsid w:val="0C7A767B"/>
    <w:rsid w:val="0D230DB5"/>
    <w:rsid w:val="137245F6"/>
    <w:rsid w:val="19B715AB"/>
    <w:rsid w:val="203D1BAD"/>
    <w:rsid w:val="36CC6E90"/>
    <w:rsid w:val="373B5D10"/>
    <w:rsid w:val="37E02355"/>
    <w:rsid w:val="3A37712F"/>
    <w:rsid w:val="3FCA5448"/>
    <w:rsid w:val="43BE1B77"/>
    <w:rsid w:val="4BD70AB7"/>
    <w:rsid w:val="50744054"/>
    <w:rsid w:val="6F456110"/>
    <w:rsid w:val="715452F2"/>
    <w:rsid w:val="76F1690F"/>
    <w:rsid w:val="7A6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B3163-AE09-41C6-BDBF-04BDF9A82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1708</Characters>
  <Lines>14</Lines>
  <Paragraphs>4</Paragraphs>
  <TotalTime>1</TotalTime>
  <ScaleCrop>false</ScaleCrop>
  <LinksUpToDate>false</LinksUpToDate>
  <CharactersWithSpaces>2003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19152</cp:lastModifiedBy>
  <cp:lastPrinted>2007-07-25T08:25:00Z</cp:lastPrinted>
  <dcterms:modified xsi:type="dcterms:W3CDTF">2018-12-17T05:11:55Z</dcterms:modified>
  <dc:title>帕迪课程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