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auto"/>
        <w:jc w:val="center"/>
        <w:outlineLvl w:val="0"/>
        <w:rPr>
          <w:rFonts w:hint="eastAsia" w:ascii="等线" w:hAnsi="等线" w:eastAsia="等线" w:cs="等线"/>
          <w:b/>
          <w:bCs/>
          <w:sz w:val="48"/>
          <w:szCs w:val="56"/>
          <w:lang w:val="en-US" w:eastAsia="zh-CN"/>
        </w:rPr>
      </w:pPr>
      <w:r>
        <w:rPr>
          <w:rFonts w:hint="eastAsia" w:ascii="等线" w:hAnsi="等线" w:eastAsia="等线" w:cs="等线"/>
          <w:b/>
          <w:bCs/>
          <w:sz w:val="48"/>
          <w:szCs w:val="56"/>
          <w:lang w:val="en-US" w:eastAsia="zh-CN"/>
        </w:rPr>
        <w:t>成人高等教育考试报考指南</w:t>
      </w:r>
    </w:p>
    <w:p>
      <w:pPr>
        <w:keepNext w:val="0"/>
        <w:keepLines w:val="0"/>
        <w:pageBreakBefore w:val="0"/>
        <w:widowControl w:val="0"/>
        <w:numPr>
          <w:ilvl w:val="0"/>
          <w:numId w:val="1"/>
        </w:numPr>
        <w:kinsoku/>
        <w:wordWrap/>
        <w:overflowPunct/>
        <w:topLinePunct w:val="0"/>
        <w:autoSpaceDE/>
        <w:autoSpaceDN/>
        <w:bidi w:val="0"/>
        <w:adjustRightInd/>
        <w:snapToGrid/>
        <w:spacing w:line="720" w:lineRule="auto"/>
        <w:textAlignment w:val="auto"/>
        <w:outlineLvl w:val="0"/>
        <w:rPr>
          <w:rFonts w:hint="eastAsia" w:ascii="等线" w:hAnsi="等线" w:eastAsia="等线" w:cs="等线"/>
          <w:b/>
          <w:bCs/>
          <w:sz w:val="28"/>
          <w:szCs w:val="28"/>
          <w:lang w:val="en-US" w:eastAsia="zh-CN"/>
        </w:rPr>
      </w:pPr>
      <w:r>
        <w:rPr>
          <w:rFonts w:hint="eastAsia" w:ascii="等线" w:hAnsi="等线" w:eastAsia="等线" w:cs="等线"/>
          <w:b/>
          <w:bCs/>
          <w:sz w:val="28"/>
          <w:szCs w:val="28"/>
          <w:lang w:val="en-US" w:eastAsia="zh-CN"/>
        </w:rPr>
        <w:t>报名时间</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报名时</w:t>
      </w:r>
      <w:r>
        <w:rPr>
          <w:rFonts w:hint="eastAsia" w:ascii="等线" w:hAnsi="等线" w:eastAsia="等线" w:cs="等线"/>
          <w:sz w:val="24"/>
          <w:szCs w:val="24"/>
        </w:rPr>
        <w:t>间：</w:t>
      </w:r>
      <w:r>
        <w:rPr>
          <w:rFonts w:hint="eastAsia" w:ascii="等线" w:hAnsi="等线" w:eastAsia="等线" w:cs="等线"/>
          <w:sz w:val="24"/>
          <w:szCs w:val="24"/>
          <w:lang w:val="en-US" w:eastAsia="zh-CN"/>
        </w:rPr>
        <w:t>即日起至2024年9月中旬止。</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等线" w:hAnsi="等线" w:eastAsia="等线" w:cs="等线"/>
          <w:sz w:val="24"/>
          <w:szCs w:val="24"/>
        </w:rPr>
      </w:pPr>
      <w:r>
        <w:rPr>
          <w:rFonts w:hint="eastAsia" w:ascii="等线" w:hAnsi="等线" w:eastAsia="等线" w:cs="等线"/>
          <w:sz w:val="24"/>
          <w:szCs w:val="24"/>
          <w:lang w:val="en-US" w:eastAsia="zh-CN"/>
        </w:rPr>
        <w:t>预计报考时间</w:t>
      </w:r>
      <w:r>
        <w:rPr>
          <w:rFonts w:hint="eastAsia" w:ascii="等线" w:hAnsi="等线" w:eastAsia="等线" w:cs="等线"/>
          <w:sz w:val="24"/>
          <w:szCs w:val="24"/>
        </w:rPr>
        <w:t>：</w:t>
      </w:r>
      <w:r>
        <w:rPr>
          <w:rFonts w:hint="eastAsia" w:ascii="等线" w:hAnsi="等线" w:eastAsia="等线" w:cs="等线"/>
          <w:sz w:val="24"/>
          <w:szCs w:val="24"/>
          <w:lang w:val="en-US" w:eastAsia="zh-CN"/>
        </w:rPr>
        <w:t>2024年9月1日-9月15日止。</w:t>
      </w:r>
    </w:p>
    <w:p>
      <w:pPr>
        <w:keepNext w:val="0"/>
        <w:keepLines w:val="0"/>
        <w:pageBreakBefore w:val="0"/>
        <w:widowControl w:val="0"/>
        <w:numPr>
          <w:ilvl w:val="0"/>
          <w:numId w:val="1"/>
        </w:numPr>
        <w:kinsoku/>
        <w:wordWrap/>
        <w:overflowPunct/>
        <w:topLinePunct w:val="0"/>
        <w:autoSpaceDE/>
        <w:autoSpaceDN/>
        <w:bidi w:val="0"/>
        <w:adjustRightInd/>
        <w:snapToGrid/>
        <w:spacing w:line="720" w:lineRule="auto"/>
        <w:textAlignment w:val="auto"/>
        <w:outlineLvl w:val="0"/>
        <w:rPr>
          <w:rFonts w:hint="eastAsia" w:ascii="等线" w:hAnsi="等线" w:eastAsia="等线" w:cs="等线"/>
          <w:b/>
          <w:bCs/>
          <w:sz w:val="28"/>
          <w:szCs w:val="28"/>
          <w:lang w:val="en-US" w:eastAsia="zh-CN"/>
        </w:rPr>
      </w:pPr>
      <w:r>
        <w:rPr>
          <w:rFonts w:hint="eastAsia" w:ascii="等线" w:hAnsi="等线" w:eastAsia="等线" w:cs="等线"/>
          <w:b/>
          <w:bCs/>
          <w:sz w:val="28"/>
          <w:szCs w:val="28"/>
          <w:lang w:val="en-US" w:eastAsia="zh-CN"/>
        </w:rPr>
        <w:t>报考条件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符合下列条件的中国公民可以报名：</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rPr>
      </w:pPr>
      <w:r>
        <w:rPr>
          <w:rFonts w:hint="eastAsia" w:ascii="等线" w:hAnsi="等线" w:eastAsia="等线" w:cs="等线"/>
          <w:sz w:val="24"/>
          <w:szCs w:val="24"/>
        </w:rPr>
        <w:t>遵守中华人民共和国宪法和法律。</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rPr>
      </w:pPr>
      <w:r>
        <w:rPr>
          <w:rFonts w:hint="eastAsia" w:ascii="等线" w:hAnsi="等线" w:eastAsia="等线" w:cs="等线"/>
          <w:sz w:val="24"/>
          <w:szCs w:val="24"/>
          <w:lang w:val="en-US" w:eastAsia="zh-CN"/>
        </w:rPr>
        <w:t>年满17周岁，是</w:t>
      </w:r>
      <w:r>
        <w:rPr>
          <w:rFonts w:hint="eastAsia" w:ascii="等线" w:hAnsi="等线" w:eastAsia="等线" w:cs="等线"/>
          <w:sz w:val="24"/>
          <w:szCs w:val="24"/>
        </w:rPr>
        <w:t>国家承认学历的各类高、中等学校在校（在籍）学生以外的在职、从业人员和社会其他人员。</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textAlignment w:val="auto"/>
        <w:rPr>
          <w:rFonts w:hint="default" w:ascii="等线" w:hAnsi="等线" w:eastAsia="等线" w:cs="等线"/>
          <w:b/>
          <w:bCs/>
          <w:color w:val="auto"/>
          <w:sz w:val="24"/>
          <w:szCs w:val="24"/>
          <w:lang w:val="en-US" w:eastAsia="zh-CN"/>
        </w:rPr>
      </w:pPr>
      <w:r>
        <w:rPr>
          <w:rFonts w:hint="eastAsia" w:ascii="等线" w:hAnsi="等线" w:eastAsia="等线" w:cs="等线"/>
          <w:sz w:val="24"/>
          <w:szCs w:val="24"/>
        </w:rPr>
        <w:t>身体健康，生活能自理，不影响所报专业学习。</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b w:val="0"/>
          <w:bCs w:val="0"/>
          <w:color w:val="auto"/>
          <w:sz w:val="24"/>
          <w:szCs w:val="24"/>
        </w:rPr>
      </w:pPr>
      <w:r>
        <w:rPr>
          <w:rFonts w:hint="eastAsia" w:ascii="等线" w:hAnsi="等线" w:eastAsia="等线" w:cs="等线"/>
          <w:b w:val="0"/>
          <w:bCs w:val="0"/>
          <w:color w:val="auto"/>
          <w:sz w:val="24"/>
          <w:szCs w:val="24"/>
        </w:rPr>
        <w:t>报考“高起本”或“高起专”的考生应高级中等教育学校毕业或者具有同等学力。报考“专升本”的考生必须是已取得经教育部审定核准的国民教育系列高等学校、高等教育自学考试机构颁发的专科毕业证书、本科结业证书或以上证书的人员。</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color w:val="auto"/>
          <w:sz w:val="24"/>
          <w:szCs w:val="24"/>
        </w:rPr>
      </w:pPr>
      <w:r>
        <w:rPr>
          <w:rFonts w:hint="eastAsia" w:ascii="等线" w:hAnsi="等线" w:eastAsia="等线" w:cs="等线"/>
          <w:b/>
          <w:bCs/>
          <w:color w:val="auto"/>
          <w:sz w:val="24"/>
          <w:szCs w:val="24"/>
        </w:rPr>
        <w:t>报考成人高校医学门类专业的考生应具备以下条件：</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color w:val="auto"/>
          <w:sz w:val="24"/>
          <w:szCs w:val="24"/>
        </w:rPr>
      </w:pPr>
      <w:r>
        <w:rPr>
          <w:rFonts w:hint="eastAsia" w:ascii="等线" w:hAnsi="等线" w:eastAsia="等线" w:cs="等线"/>
          <w:color w:val="auto"/>
          <w:sz w:val="24"/>
          <w:szCs w:val="24"/>
        </w:rPr>
        <w:t>报考临床医学、口腔医学、预防医学、中医学等临床类专业的人员，应当取得省级卫生健康行政部门颁发的相应类别的执业助理医师及以上资格证书或取得国家认可的普通中专及以上相应专业学历；或者县级及以上卫生健康行政部门颁发的乡村医生执业证书并具有中专学历或中专水平证书。</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color w:val="auto"/>
          <w:sz w:val="24"/>
          <w:szCs w:val="24"/>
        </w:rPr>
      </w:pPr>
      <w:r>
        <w:rPr>
          <w:rFonts w:hint="eastAsia" w:ascii="等线" w:hAnsi="等线" w:eastAsia="等线" w:cs="等线"/>
          <w:color w:val="auto"/>
          <w:sz w:val="24"/>
          <w:szCs w:val="24"/>
        </w:rPr>
        <w:t>报考护理学专业的人员应当取得省级卫生健康行政部门颁发的执业护士证书；或取得2023年护士执业资格考试合格成绩的2023届护理、助产专业全日制普通大中专毕业生(考试合格成绩将由省卫生健康部门核准）。</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color w:val="auto"/>
          <w:sz w:val="24"/>
          <w:szCs w:val="24"/>
        </w:rPr>
      </w:pPr>
      <w:r>
        <w:rPr>
          <w:rFonts w:hint="eastAsia" w:ascii="等线" w:hAnsi="等线" w:eastAsia="等线" w:cs="等线"/>
          <w:color w:val="auto"/>
          <w:sz w:val="24"/>
          <w:szCs w:val="24"/>
        </w:rPr>
        <w:t>报考医学门类其他专业的人员应当是从事卫生、医药行业工作的在职专业技术人员。</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color w:val="auto"/>
          <w:sz w:val="24"/>
          <w:szCs w:val="24"/>
        </w:rPr>
      </w:pPr>
      <w:r>
        <w:rPr>
          <w:rFonts w:hint="eastAsia" w:ascii="等线" w:hAnsi="等线" w:eastAsia="等线" w:cs="等线"/>
          <w:color w:val="auto"/>
          <w:sz w:val="24"/>
          <w:szCs w:val="24"/>
        </w:rPr>
        <w:t>考生报考的专业原则上应与所从事的专业对口。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color w:val="auto"/>
          <w:sz w:val="24"/>
          <w:szCs w:val="24"/>
        </w:rPr>
      </w:pPr>
      <w:r>
        <w:rPr>
          <w:rFonts w:hint="eastAsia" w:ascii="等线" w:hAnsi="等线" w:eastAsia="等线" w:cs="等线"/>
          <w:color w:val="auto"/>
          <w:sz w:val="24"/>
          <w:szCs w:val="24"/>
        </w:rPr>
        <w:t>根据国家相关规定，医学、护理类成人高等教育学历文凭不能作为报考执业医师、执业护士等资格考试的依据，不具备上述条件的考生慎重报考。</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textAlignment w:val="auto"/>
        <w:rPr>
          <w:rFonts w:hint="default" w:ascii="等线" w:hAnsi="等线" w:eastAsia="等线" w:cs="等线"/>
          <w:sz w:val="24"/>
          <w:szCs w:val="24"/>
          <w:lang w:val="en-US" w:eastAsia="zh-CN"/>
        </w:rPr>
      </w:pPr>
      <w:r>
        <w:rPr>
          <w:rFonts w:hint="default" w:ascii="等线" w:hAnsi="等线" w:eastAsia="等线" w:cs="等线"/>
          <w:sz w:val="24"/>
          <w:szCs w:val="24"/>
          <w:lang w:val="en-US" w:eastAsia="zh-CN"/>
        </w:rPr>
        <w:t>现役军人报名须持士兵证和有效二代居民身份证</w:t>
      </w:r>
      <w:r>
        <w:rPr>
          <w:rFonts w:hint="eastAsia" w:ascii="等线" w:hAnsi="等线" w:eastAsia="等线" w:cs="等线"/>
          <w:sz w:val="24"/>
          <w:szCs w:val="24"/>
          <w:lang w:val="en-US"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textAlignment w:val="auto"/>
        <w:rPr>
          <w:rFonts w:hint="default" w:ascii="等线" w:hAnsi="等线" w:eastAsia="等线" w:cs="等线"/>
          <w:sz w:val="24"/>
          <w:szCs w:val="24"/>
          <w:lang w:val="en-US" w:eastAsia="zh-CN"/>
        </w:rPr>
      </w:pPr>
      <w:r>
        <w:rPr>
          <w:rFonts w:hint="eastAsia" w:ascii="等线" w:hAnsi="等线" w:eastAsia="等线" w:cs="等线"/>
          <w:sz w:val="24"/>
          <w:szCs w:val="24"/>
          <w:lang w:val="en-US" w:eastAsia="zh-CN"/>
        </w:rPr>
        <w:t>在中国定居并符合上述报名条件的港澳居民持《港澳居民来往内地通行证》或《港澳居民居住证》、台湾居民持《台湾居民来往大陆通行证》或《台湾居民居住证》、外国侨民持《外国人永久居留身份证》，方可参加报名。</w:t>
      </w:r>
    </w:p>
    <w:p>
      <w:pPr>
        <w:keepNext w:val="0"/>
        <w:keepLines w:val="0"/>
        <w:pageBreakBefore w:val="0"/>
        <w:widowControl w:val="0"/>
        <w:numPr>
          <w:ilvl w:val="0"/>
          <w:numId w:val="1"/>
        </w:numPr>
        <w:kinsoku/>
        <w:wordWrap/>
        <w:overflowPunct/>
        <w:topLinePunct w:val="0"/>
        <w:autoSpaceDE/>
        <w:autoSpaceDN/>
        <w:bidi w:val="0"/>
        <w:adjustRightInd/>
        <w:snapToGrid/>
        <w:spacing w:line="720" w:lineRule="auto"/>
        <w:textAlignment w:val="auto"/>
        <w:outlineLvl w:val="0"/>
        <w:rPr>
          <w:rFonts w:hint="eastAsia" w:ascii="等线" w:hAnsi="等线" w:eastAsia="等线" w:cs="等线"/>
          <w:b/>
          <w:bCs/>
          <w:sz w:val="28"/>
          <w:szCs w:val="28"/>
          <w:lang w:val="en-US" w:eastAsia="zh-CN"/>
        </w:rPr>
      </w:pPr>
      <w:r>
        <w:rPr>
          <w:rFonts w:hint="eastAsia" w:ascii="等线" w:hAnsi="等线" w:eastAsia="等线" w:cs="等线"/>
          <w:b/>
          <w:bCs/>
          <w:sz w:val="28"/>
          <w:szCs w:val="28"/>
          <w:lang w:val="en-US" w:eastAsia="zh-CN"/>
        </w:rPr>
        <w:t>免试入学</w:t>
      </w:r>
    </w:p>
    <w:p>
      <w:pPr>
        <w:keepNext w:val="0"/>
        <w:keepLines w:val="0"/>
        <w:pageBreakBefore w:val="0"/>
        <w:widowControl w:val="0"/>
        <w:numPr>
          <w:ilvl w:val="0"/>
          <w:numId w:val="5"/>
        </w:numPr>
        <w:tabs>
          <w:tab w:val="clear" w:pos="312"/>
        </w:tabs>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rPr>
      </w:pPr>
      <w:r>
        <w:rPr>
          <w:rFonts w:hint="eastAsia" w:ascii="等线" w:hAnsi="等线" w:eastAsia="等线" w:cs="等线"/>
          <w:sz w:val="24"/>
          <w:szCs w:val="24"/>
        </w:rPr>
        <w:t>获得“全国劳动模范”“全国先进工作者”称号，“全国‘五一’劳动奖章”获得者，经本人申请并出具相关证书或证明，经省教育考试院审核，招生学校同意，可免试入学。</w:t>
      </w:r>
    </w:p>
    <w:p>
      <w:pPr>
        <w:keepNext w:val="0"/>
        <w:keepLines w:val="0"/>
        <w:pageBreakBefore w:val="0"/>
        <w:widowControl w:val="0"/>
        <w:numPr>
          <w:ilvl w:val="0"/>
          <w:numId w:val="5"/>
        </w:numPr>
        <w:tabs>
          <w:tab w:val="clear" w:pos="312"/>
        </w:tabs>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rPr>
      </w:pPr>
      <w:r>
        <w:rPr>
          <w:rFonts w:hint="eastAsia" w:ascii="等线" w:hAnsi="等线" w:eastAsia="等线" w:cs="等线"/>
          <w:sz w:val="24"/>
          <w:szCs w:val="24"/>
        </w:rPr>
        <w:t>奥运会、世界杯赛和世界锦标赛的奥运会项目前八名获得者、非奥运会项目前六名获得者，亚运会、亚洲杯赛和亚洲锦标赛的奥运会项目前六名获得者、非奥运会项目前三名获得者；全运会、全国锦标赛和全国冠军赛的奥运会项目前三名获得者、非奥运会项目冠军获得者，出具省级体育行政部门审核的《优秀运动员申请免试进入成人高等学校学习推荐表》（国家体育总局监制），经省教育考试院审核，招生学校同意，可免试入学。</w:t>
      </w:r>
    </w:p>
    <w:p>
      <w:pPr>
        <w:keepNext w:val="0"/>
        <w:keepLines w:val="0"/>
        <w:pageBreakBefore w:val="0"/>
        <w:widowControl w:val="0"/>
        <w:numPr>
          <w:ilvl w:val="0"/>
          <w:numId w:val="5"/>
        </w:numPr>
        <w:tabs>
          <w:tab w:val="clear" w:pos="312"/>
        </w:tabs>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color w:val="auto"/>
          <w:sz w:val="24"/>
          <w:szCs w:val="24"/>
        </w:rPr>
      </w:pPr>
      <w:r>
        <w:rPr>
          <w:rFonts w:hint="eastAsia" w:ascii="等线" w:hAnsi="等线" w:eastAsia="等线" w:cs="等线"/>
          <w:color w:val="auto"/>
          <w:sz w:val="24"/>
          <w:szCs w:val="24"/>
        </w:rPr>
        <w:t>参加“选聘高校毕业生到村任职”“三支一扶（支教、支农、支医和扶贫）”“大学生志愿服务西部计划”“农村义务教育阶段学校教师特设岗位计划” 等项目服务期满并考核合格的普通高职（专科）毕业生，凭身份证、普通高职（专科）毕业证、相关项目考核合格证，可申请免试就读所在省（区、市）的成人高校专升本。</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color w:val="auto"/>
          <w:sz w:val="24"/>
          <w:szCs w:val="24"/>
          <w:lang w:val="en-US" w:eastAsia="zh-CN"/>
        </w:rPr>
      </w:pPr>
      <w:r>
        <w:rPr>
          <w:rFonts w:hint="eastAsia" w:ascii="等线" w:hAnsi="等线" w:eastAsia="等线" w:cs="等线"/>
          <w:color w:val="auto"/>
          <w:sz w:val="24"/>
          <w:szCs w:val="24"/>
        </w:rPr>
        <w:t>符合专升本报考条件的退役军人（自主就业退役士兵、自主择业军转干部、复员干部），凭身份证、退役证（义务兵/士官退出现役证、军官转业证书、军官复员证书）及相应的学历证书，可申请免试就读所在省（区、市）的成人高校专升本。若退役证、军官转业证书、军官复员证书上未注明“自主就业”“自主择业”，须到户籍所在地退役军人事务局开具自主就业、自主择业的证明，方可申请免试入学</w:t>
      </w:r>
      <w:r>
        <w:rPr>
          <w:rFonts w:hint="eastAsia" w:ascii="等线" w:hAnsi="等线" w:eastAsia="等线" w:cs="等线"/>
          <w:color w:val="auto"/>
          <w:sz w:val="24"/>
          <w:szCs w:val="24"/>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720" w:lineRule="auto"/>
        <w:textAlignment w:val="auto"/>
        <w:outlineLvl w:val="0"/>
        <w:rPr>
          <w:rFonts w:hint="eastAsia" w:ascii="等线" w:hAnsi="等线" w:eastAsia="等线" w:cs="等线"/>
          <w:b/>
          <w:bCs/>
          <w:sz w:val="28"/>
          <w:szCs w:val="28"/>
          <w:lang w:val="en-US" w:eastAsia="zh-CN"/>
        </w:rPr>
      </w:pPr>
      <w:r>
        <w:rPr>
          <w:rFonts w:hint="eastAsia" w:ascii="等线" w:hAnsi="等线" w:eastAsia="等线" w:cs="等线"/>
          <w:b/>
          <w:bCs/>
          <w:sz w:val="28"/>
          <w:szCs w:val="28"/>
          <w:lang w:val="en-US" w:eastAsia="zh-CN"/>
        </w:rPr>
        <w:t>投档加分</w:t>
      </w:r>
    </w:p>
    <w:p>
      <w:pPr>
        <w:keepNext w:val="0"/>
        <w:keepLines w:val="0"/>
        <w:pageBreakBefore w:val="0"/>
        <w:widowControl w:val="0"/>
        <w:numPr>
          <w:ilvl w:val="0"/>
          <w:numId w:val="6"/>
        </w:numPr>
        <w:tabs>
          <w:tab w:val="clear" w:pos="312"/>
        </w:tabs>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color w:val="auto"/>
          <w:sz w:val="24"/>
          <w:szCs w:val="24"/>
        </w:rPr>
      </w:pPr>
      <w:r>
        <w:rPr>
          <w:rFonts w:hint="eastAsia" w:ascii="等线" w:hAnsi="等线" w:eastAsia="等线" w:cs="等线"/>
          <w:sz w:val="24"/>
          <w:szCs w:val="24"/>
        </w:rPr>
        <w:t>运动健将和武术项目武英级运动员称号获得者（须经省级体育行政部门</w:t>
      </w:r>
      <w:r>
        <w:rPr>
          <w:rFonts w:hint="eastAsia" w:ascii="等线" w:hAnsi="等线" w:eastAsia="等线" w:cs="等线"/>
          <w:color w:val="auto"/>
          <w:sz w:val="24"/>
          <w:szCs w:val="24"/>
        </w:rPr>
        <w:t>审核并出具运动成绩证明），可在考生考试成绩基础上增加50分投档（一级运动员称号获得者为30分），是否录取由招生学校确定。</w:t>
      </w:r>
    </w:p>
    <w:p>
      <w:pPr>
        <w:keepNext w:val="0"/>
        <w:keepLines w:val="0"/>
        <w:pageBreakBefore w:val="0"/>
        <w:widowControl w:val="0"/>
        <w:numPr>
          <w:ilvl w:val="0"/>
          <w:numId w:val="6"/>
        </w:numPr>
        <w:tabs>
          <w:tab w:val="clear" w:pos="312"/>
        </w:tabs>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b/>
          <w:bCs/>
          <w:color w:val="auto"/>
          <w:sz w:val="24"/>
          <w:szCs w:val="24"/>
        </w:rPr>
      </w:pPr>
      <w:r>
        <w:rPr>
          <w:rFonts w:hint="eastAsia" w:ascii="等线" w:hAnsi="等线" w:eastAsia="等线" w:cs="等线"/>
          <w:b/>
          <w:bCs/>
          <w:color w:val="auto"/>
          <w:sz w:val="24"/>
          <w:szCs w:val="24"/>
        </w:rPr>
        <w:t>符合下列条件之一的考生，可在考生成绩基础上增加20分投档，是否录取由招生学校确定：</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rPr>
      </w:pPr>
      <w:r>
        <w:rPr>
          <w:rFonts w:hint="eastAsia" w:ascii="等线" w:hAnsi="等线" w:eastAsia="等线" w:cs="等线"/>
          <w:sz w:val="24"/>
          <w:szCs w:val="24"/>
        </w:rPr>
        <w:t>获得市州级及以人民政府，国务院各部委及各省（自治区、直辖市）厅、局系统，国家特大型企业授予的劳动模范、先进生产（工作）者和科技进步（成果）奖获得者。</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rPr>
      </w:pPr>
      <w:r>
        <w:rPr>
          <w:rFonts w:hint="eastAsia" w:ascii="等线" w:hAnsi="等线" w:eastAsia="等线" w:cs="等线"/>
          <w:sz w:val="24"/>
          <w:szCs w:val="24"/>
        </w:rPr>
        <w:t>省级工、</w:t>
      </w:r>
      <w:r>
        <w:rPr>
          <w:rFonts w:hint="eastAsia" w:ascii="等线" w:hAnsi="等线" w:eastAsia="等线" w:cs="等线"/>
          <w:sz w:val="24"/>
          <w:szCs w:val="24"/>
          <w:lang w:val="en-US" w:eastAsia="zh-CN"/>
        </w:rPr>
        <w:t>青</w:t>
      </w:r>
      <w:r>
        <w:rPr>
          <w:rFonts w:hint="eastAsia" w:ascii="等线" w:hAnsi="等线" w:eastAsia="等线" w:cs="等线"/>
          <w:sz w:val="24"/>
          <w:szCs w:val="24"/>
        </w:rPr>
        <w:t>、妇等组织授</w:t>
      </w:r>
      <w:r>
        <w:rPr>
          <w:rFonts w:hint="eastAsia" w:ascii="等线" w:hAnsi="等线" w:eastAsia="等线" w:cs="等线"/>
          <w:sz w:val="24"/>
          <w:szCs w:val="24"/>
          <w:lang w:val="en-US" w:eastAsia="zh-CN"/>
        </w:rPr>
        <w:t>予</w:t>
      </w:r>
      <w:r>
        <w:rPr>
          <w:rFonts w:hint="eastAsia" w:ascii="等线" w:hAnsi="等线" w:eastAsia="等线" w:cs="等线"/>
          <w:sz w:val="24"/>
          <w:szCs w:val="24"/>
        </w:rPr>
        <w:t>的“五一劳动奖章”、“新长征突击手”、“三八红旗手”称号者。</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rPr>
      </w:pPr>
      <w:r>
        <w:rPr>
          <w:rFonts w:hint="eastAsia" w:ascii="等线" w:hAnsi="等线" w:eastAsia="等线" w:cs="等线"/>
          <w:sz w:val="24"/>
          <w:szCs w:val="24"/>
        </w:rPr>
        <w:t>解放军、武警部队、公安干警荣立个人三等功以上者。</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rPr>
      </w:pPr>
      <w:r>
        <w:rPr>
          <w:rFonts w:hint="eastAsia" w:ascii="等线" w:hAnsi="等线" w:eastAsia="等线" w:cs="等线"/>
          <w:sz w:val="24"/>
          <w:szCs w:val="24"/>
        </w:rPr>
        <w:t>归侨、归侨子女、华侨子女、台湾省籍考生。</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rPr>
      </w:pPr>
      <w:r>
        <w:rPr>
          <w:rFonts w:hint="eastAsia" w:ascii="等线" w:hAnsi="等线" w:eastAsia="等线" w:cs="等线"/>
          <w:sz w:val="24"/>
          <w:szCs w:val="24"/>
        </w:rPr>
        <w:t>烈士子女、烈士配偶。</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rPr>
      </w:pPr>
      <w:r>
        <w:rPr>
          <w:rFonts w:hint="eastAsia" w:ascii="等线" w:hAnsi="等线" w:eastAsia="等线" w:cs="等线"/>
          <w:sz w:val="24"/>
          <w:szCs w:val="24"/>
        </w:rPr>
        <w:t>边疆、山区、牧区和少数民族聚居地区的少数民族考生，国防科技工业三线企业单位（地处市州以上人民政府所在地的除外）获得企业</w:t>
      </w:r>
      <w:r>
        <w:rPr>
          <w:rFonts w:hint="eastAsia" w:ascii="等线" w:hAnsi="等线" w:eastAsia="等线" w:cs="等线"/>
          <w:sz w:val="24"/>
          <w:szCs w:val="24"/>
          <w:lang w:val="en-US" w:eastAsia="zh-CN"/>
        </w:rPr>
        <w:t>表彰</w:t>
      </w:r>
      <w:r>
        <w:rPr>
          <w:rFonts w:hint="eastAsia" w:ascii="等线" w:hAnsi="等线" w:eastAsia="等线" w:cs="等线"/>
          <w:sz w:val="24"/>
          <w:szCs w:val="24"/>
        </w:rPr>
        <w:t>的先进生产（工作）者。</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rPr>
      </w:pPr>
      <w:r>
        <w:rPr>
          <w:rFonts w:hint="eastAsia" w:ascii="等线" w:hAnsi="等线" w:eastAsia="等线" w:cs="等线"/>
          <w:sz w:val="24"/>
          <w:szCs w:val="24"/>
        </w:rPr>
        <w:t>军人考前执行特殊任务的，如救灾、特殊军事训练、重要安保等（凭部队团级或团级以上政治机关提供的证明）。</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color w:val="auto"/>
          <w:sz w:val="24"/>
          <w:szCs w:val="24"/>
        </w:rPr>
      </w:pPr>
      <w:r>
        <w:rPr>
          <w:rFonts w:hint="eastAsia" w:ascii="等线" w:hAnsi="等线" w:eastAsia="等线" w:cs="等线"/>
          <w:color w:val="auto"/>
          <w:sz w:val="24"/>
          <w:szCs w:val="24"/>
        </w:rPr>
        <w:t>年满25周岁（以当年考试之日计算截止日期）以上考生。</w:t>
      </w:r>
    </w:p>
    <w:p>
      <w:pPr>
        <w:keepNext w:val="0"/>
        <w:keepLines w:val="0"/>
        <w:pageBreakBefore w:val="0"/>
        <w:widowControl w:val="0"/>
        <w:numPr>
          <w:ilvl w:val="0"/>
          <w:numId w:val="6"/>
        </w:numPr>
        <w:tabs>
          <w:tab w:val="clear" w:pos="312"/>
        </w:tabs>
        <w:kinsoku/>
        <w:wordWrap/>
        <w:overflowPunct/>
        <w:topLinePunct w:val="0"/>
        <w:autoSpaceDE/>
        <w:autoSpaceDN/>
        <w:bidi w:val="0"/>
        <w:adjustRightInd/>
        <w:snapToGrid/>
        <w:spacing w:line="360" w:lineRule="auto"/>
        <w:ind w:left="0" w:leftChars="0" w:firstLine="480" w:firstLineChars="200"/>
        <w:textAlignment w:val="auto"/>
        <w:rPr>
          <w:rFonts w:hint="eastAsia" w:ascii="等线" w:hAnsi="等线" w:eastAsia="等线" w:cs="等线"/>
          <w:b/>
          <w:bCs/>
          <w:color w:val="auto"/>
          <w:sz w:val="24"/>
          <w:szCs w:val="24"/>
        </w:rPr>
      </w:pPr>
      <w:r>
        <w:rPr>
          <w:rFonts w:hint="eastAsia" w:ascii="等线" w:hAnsi="等线" w:eastAsia="等线" w:cs="等线"/>
          <w:b/>
          <w:bCs/>
          <w:color w:val="auto"/>
          <w:sz w:val="24"/>
          <w:szCs w:val="24"/>
        </w:rPr>
        <w:t>符合下列条件之一的考生，可在考生成绩基础上增加10分投档，是否录取由招生学校确定：</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0" w:leftChars="0"/>
        <w:textAlignment w:val="auto"/>
        <w:rPr>
          <w:rFonts w:hint="eastAsia" w:ascii="等线" w:hAnsi="等线" w:eastAsia="等线" w:cs="等线"/>
          <w:sz w:val="24"/>
          <w:szCs w:val="24"/>
        </w:rPr>
      </w:pPr>
      <w:r>
        <w:rPr>
          <w:rFonts w:hint="eastAsia" w:ascii="等线" w:hAnsi="等线" w:eastAsia="等线" w:cs="等线"/>
          <w:sz w:val="24"/>
          <w:szCs w:val="24"/>
        </w:rPr>
        <w:t>自主就业的退役士兵。</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0" w:leftChars="0"/>
        <w:textAlignment w:val="auto"/>
        <w:rPr>
          <w:rFonts w:hint="eastAsia" w:ascii="等线" w:hAnsi="等线" w:eastAsia="等线" w:cs="等线"/>
          <w:sz w:val="24"/>
          <w:szCs w:val="24"/>
        </w:rPr>
      </w:pPr>
      <w:r>
        <w:rPr>
          <w:rFonts w:hint="eastAsia" w:ascii="等线" w:hAnsi="等线" w:eastAsia="等线" w:cs="等线"/>
          <w:sz w:val="24"/>
          <w:szCs w:val="24"/>
        </w:rPr>
        <w:t>年满19周岁且不满25周岁人员（以当年考试之日计算截止日期）。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rPr>
      </w:pPr>
      <w:r>
        <w:rPr>
          <w:rFonts w:hint="eastAsia" w:ascii="等线" w:hAnsi="等线" w:eastAsia="等线" w:cs="等线"/>
          <w:sz w:val="24"/>
          <w:szCs w:val="24"/>
        </w:rPr>
        <w:t>各市州招生考试机构要验证申请免试入学的</w:t>
      </w:r>
      <w:r>
        <w:rPr>
          <w:rFonts w:hint="eastAsia" w:ascii="等线" w:hAnsi="等线" w:eastAsia="等线" w:cs="等线"/>
          <w:sz w:val="24"/>
          <w:szCs w:val="24"/>
          <w:lang w:val="en-US" w:eastAsia="zh-CN"/>
        </w:rPr>
        <w:t>考</w:t>
      </w:r>
      <w:r>
        <w:rPr>
          <w:rFonts w:hint="eastAsia" w:ascii="等线" w:hAnsi="等线" w:eastAsia="等线" w:cs="等线"/>
          <w:sz w:val="24"/>
          <w:szCs w:val="24"/>
        </w:rPr>
        <w:t>生的相关原始证件，在9月20日前报送省教育考试院审核，逾期不予受理。符合上述其他照顾政策的考生必须在报名时交验相应的原始证件（自主就业的退役士兵凭省级民政部门颁发的《自谋职业证》或部队团级政治机关证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b/>
          <w:bCs/>
          <w:sz w:val="24"/>
          <w:szCs w:val="24"/>
        </w:rPr>
      </w:pPr>
      <w:r>
        <w:rPr>
          <w:rFonts w:hint="eastAsia" w:ascii="等线" w:hAnsi="等线" w:eastAsia="等线" w:cs="等线"/>
          <w:b/>
          <w:bCs/>
          <w:sz w:val="24"/>
          <w:szCs w:val="24"/>
        </w:rPr>
        <w:t>加分项目不累计加分，加分考生只能享受本人加分项目分值最高的一项。</w:t>
      </w:r>
    </w:p>
    <w:p>
      <w:pPr>
        <w:keepNext w:val="0"/>
        <w:keepLines w:val="0"/>
        <w:pageBreakBefore w:val="0"/>
        <w:widowControl w:val="0"/>
        <w:numPr>
          <w:ilvl w:val="0"/>
          <w:numId w:val="1"/>
        </w:numPr>
        <w:kinsoku/>
        <w:wordWrap/>
        <w:overflowPunct/>
        <w:topLinePunct w:val="0"/>
        <w:autoSpaceDE/>
        <w:autoSpaceDN/>
        <w:bidi w:val="0"/>
        <w:adjustRightInd/>
        <w:snapToGrid/>
        <w:spacing w:line="720" w:lineRule="auto"/>
        <w:textAlignment w:val="auto"/>
        <w:outlineLvl w:val="0"/>
        <w:rPr>
          <w:rFonts w:hint="eastAsia" w:ascii="等线" w:hAnsi="等线" w:eastAsia="等线" w:cs="等线"/>
          <w:b/>
          <w:bCs/>
          <w:sz w:val="28"/>
          <w:szCs w:val="28"/>
          <w:lang w:val="en-US" w:eastAsia="zh-CN"/>
        </w:rPr>
      </w:pPr>
      <w:r>
        <w:rPr>
          <w:rFonts w:hint="eastAsia" w:ascii="等线" w:hAnsi="等线" w:eastAsia="等线" w:cs="等线"/>
          <w:b/>
          <w:bCs/>
          <w:sz w:val="28"/>
          <w:szCs w:val="28"/>
          <w:lang w:val="en-US" w:eastAsia="zh-CN"/>
        </w:rPr>
        <w:t>报考流程</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eastAsia="zh-CN"/>
        </w:rPr>
      </w:pPr>
      <w:r>
        <w:rPr>
          <w:rFonts w:hint="eastAsia" w:ascii="等线" w:hAnsi="等线" w:eastAsia="等线" w:cs="等线"/>
          <w:sz w:val="24"/>
          <w:szCs w:val="24"/>
          <w:lang w:eastAsia="zh-CN"/>
        </w:rPr>
        <w:t>我省成人高校招生考试报名工作由各市州招生考试机构具体组织实施，报名确认点设在市州、县市区招生考试机构，实行网上报名、确认、缴费和打印准考证。考生一般应在户籍所在地报名，必须由考生本人进行报名，所有参加全国统考、免试入学的考生均需办理报名手续。具体报名办法如下:</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lang w:eastAsia="zh-CN"/>
        </w:rPr>
      </w:pPr>
      <w:r>
        <w:rPr>
          <w:rFonts w:hint="eastAsia" w:ascii="等线" w:hAnsi="等线" w:eastAsia="等线" w:cs="等线"/>
          <w:sz w:val="24"/>
          <w:szCs w:val="24"/>
          <w:lang w:eastAsia="zh-CN"/>
        </w:rPr>
        <w:t>报名前请考生准备好本人二代身份证；省外户籍考生必须持有湖南省公安机关核发的有效期内的居住证。报考“专升本”的考生还需准备学历电子注册备案表或学历认证报告；报考临床医学、口腔医学、预防医学、中医学等临床类和护理学专业的考生还需准备相关执业证书等材料；报考医学门类其他专业的考生还需准备工作证明。</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lang w:eastAsia="zh-CN"/>
        </w:rPr>
      </w:pPr>
      <w:r>
        <w:rPr>
          <w:rFonts w:hint="eastAsia" w:ascii="等线" w:hAnsi="等线" w:eastAsia="等线" w:cs="等线"/>
          <w:sz w:val="24"/>
          <w:szCs w:val="24"/>
          <w:lang w:eastAsia="zh-CN"/>
        </w:rPr>
        <w:t>考生本人登录“潇湘成招”APP(从https://cz.hneao.cn/ks/index.html下载）自行在网上报名。考生要准确填写本人基本信息（姓名、身份证号、联系电话等)，所上传的资料必须真实，提交之前要认真核实，提交之后不能修改。因考生本人原因造成的基本信息和上传资料错误等导致影响今后考试、录取、学籍注册的，后果由考生本人承担。考生如弄虚作假，上传虚假资料骗取报考资格和录取优惠政策的，将依据教育部有关规定严肃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eastAsia="zh-CN"/>
        </w:rPr>
      </w:pPr>
      <w:r>
        <w:rPr>
          <w:rFonts w:hint="eastAsia" w:ascii="等线" w:hAnsi="等线" w:eastAsia="等线" w:cs="等线"/>
          <w:b/>
          <w:bCs/>
          <w:sz w:val="24"/>
          <w:szCs w:val="24"/>
          <w:lang w:eastAsia="zh-CN"/>
        </w:rPr>
        <w:t>特别提醒考生：</w:t>
      </w:r>
      <w:r>
        <w:rPr>
          <w:rFonts w:hint="eastAsia" w:ascii="等线" w:hAnsi="等线" w:eastAsia="等线" w:cs="等线"/>
          <w:sz w:val="24"/>
          <w:szCs w:val="24"/>
          <w:lang w:eastAsia="zh-CN"/>
        </w:rPr>
        <w:t>在报名成功后至查询录取结果期间，非必要请勿更改本人报名时填写绑定的手机号码，避免因无法登录网上报名系统或不能及时接收相关短信提醒等情况发生；在报名结束后至入学报到前，考生因个人原因要求更改相关信息（包括姓名、性别、民族、身份证号、照片、前置学历、毕业学校等），一律不予受理。</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lang w:eastAsia="zh-CN"/>
        </w:rPr>
      </w:pPr>
      <w:r>
        <w:rPr>
          <w:rFonts w:hint="eastAsia" w:ascii="等线" w:hAnsi="等线" w:eastAsia="等线" w:cs="等线"/>
          <w:sz w:val="24"/>
          <w:szCs w:val="24"/>
          <w:lang w:eastAsia="zh-CN"/>
        </w:rPr>
        <w:t>考生完成基本信息填报后，按照系统提示现场拍摄身份证正反两面并上传，通过在线活体人脸核验后，完成报名工作。其中，专升本考生需上传学历电子注册备案表或学历认证报告，通过审核后才能完成报名；报考医学门类专业的考生需按要求上传相关证书或证明，通过审核后才能完成报名。考生报名成功后，需上传正面免冠彩色白底素颜证件照。如因美颜、整容等原因导致照片无法通过对比的由考生本人负责。</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lang w:eastAsia="zh-CN"/>
        </w:rPr>
      </w:pPr>
      <w:r>
        <w:rPr>
          <w:rFonts w:hint="eastAsia" w:ascii="等线" w:hAnsi="等线" w:eastAsia="等线" w:cs="等线"/>
          <w:sz w:val="24"/>
          <w:szCs w:val="24"/>
          <w:lang w:eastAsia="zh-CN"/>
        </w:rPr>
        <w:t>港澳居民、台湾居民、外国侨民以及其他需现场提供审核资料的，由考生本人携带相关证件到报名确认点进行现场审核确认。</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lang w:eastAsia="zh-CN"/>
        </w:rPr>
      </w:pPr>
      <w:r>
        <w:rPr>
          <w:rFonts w:hint="eastAsia" w:ascii="等线" w:hAnsi="等线" w:eastAsia="等线" w:cs="等线"/>
          <w:sz w:val="24"/>
          <w:szCs w:val="24"/>
          <w:lang w:eastAsia="zh-CN"/>
        </w:rPr>
        <w:t>原户籍非湖南省但现已迁入湖南省的身份证号前2位非“43”的考生，需在报名期间内先到户籍所在地报名确认点刷二代身份证后按本地户籍注册报名。</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lang w:eastAsia="zh-CN"/>
        </w:rPr>
      </w:pPr>
      <w:r>
        <w:rPr>
          <w:rFonts w:hint="eastAsia" w:ascii="等线" w:hAnsi="等线" w:eastAsia="等线" w:cs="等线"/>
          <w:sz w:val="24"/>
          <w:szCs w:val="24"/>
          <w:lang w:eastAsia="zh-CN"/>
        </w:rPr>
        <w:t>现役军人报名参加成人高校招生考试报名前必须持士兵证和有效二代身份证到部队驻地市州考试机构备案，备案后按本地户籍身份注册报名。</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60" w:leftChars="0" w:firstLine="480" w:firstLineChars="0"/>
        <w:textAlignment w:val="auto"/>
        <w:rPr>
          <w:rFonts w:hint="eastAsia" w:ascii="等线" w:hAnsi="等线" w:eastAsia="等线" w:cs="等线"/>
          <w:sz w:val="24"/>
          <w:szCs w:val="24"/>
          <w:lang w:eastAsia="zh-CN"/>
        </w:rPr>
      </w:pPr>
      <w:r>
        <w:rPr>
          <w:rFonts w:hint="eastAsia" w:ascii="等线" w:hAnsi="等线" w:eastAsia="等线" w:cs="等线"/>
          <w:sz w:val="24"/>
          <w:szCs w:val="24"/>
          <w:lang w:val="en-US" w:eastAsia="zh-CN"/>
        </w:rPr>
        <w:t>考生所有资料审核通过后，及时通过APP缴费，并在规定时间内自助打印准考证。考生凭准考证和身份证到准考证上注明的考点考室参加考试。未缴费的考生报名资格无效，不能参加考试。对考生本人违规报考缴纳的考试考务费不办理退还手续。对变更报考学历层次需要补交报名考试考务费的，考生必须补交差额部分。</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eastAsia="zh-CN"/>
        </w:rPr>
      </w:pPr>
      <w:r>
        <w:rPr>
          <w:rFonts w:hint="eastAsia" w:ascii="等线" w:hAnsi="等线" w:eastAsia="等线" w:cs="等线"/>
          <w:sz w:val="24"/>
          <w:szCs w:val="24"/>
          <w:lang w:val="en-US" w:eastAsia="zh-CN"/>
        </w:rPr>
        <w:t>港澳居民、台湾居民、外国侨民无法进行在线活体人脸核验。考生完成在线报名后，须本人携带相关证件到选定的报名确认点进行相片采集和身份确认。</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eastAsia="zh-CN"/>
        </w:rPr>
      </w:pPr>
      <w:r>
        <w:rPr>
          <w:rFonts w:hint="eastAsia" w:ascii="等线" w:hAnsi="等线" w:eastAsia="等线" w:cs="等线"/>
          <w:sz w:val="24"/>
          <w:szCs w:val="24"/>
          <w:lang w:eastAsia="zh-CN"/>
        </w:rPr>
        <w:t>符合条件申请免试入学的考生，必须本人持身份证在市州招生考试机构确认报名信息，办理相关报名手续，并在确认报名信息时，交验有关证书原件及复印件，填写《湖南省2023年成人高校招生免试生资格审核登记表》。申请免试入学考生的有关证书原件等材料经市州招生考试机构初审，报省教育考试院审核确认后，再办理有关录取手续。</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eastAsia="zh-CN"/>
        </w:rPr>
      </w:pPr>
      <w:r>
        <w:rPr>
          <w:rFonts w:hint="eastAsia" w:ascii="等线" w:hAnsi="等线" w:eastAsia="等线" w:cs="等线"/>
          <w:sz w:val="24"/>
          <w:szCs w:val="24"/>
          <w:lang w:eastAsia="zh-CN"/>
        </w:rPr>
        <w:t>符合加分条件的考生(年龄条件加分的除外)，报名时须交验有关证件原件及复印件，填写《湖南省2023年成人高校招生照顾加分考生资格审核登记表》，交报名所在地的市州或县市区招生考试机构报名点审核。报名工作结束后，不再补办照顾加分审批手续。</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eastAsia="zh-CN"/>
        </w:rPr>
      </w:pPr>
      <w:r>
        <w:rPr>
          <w:rFonts w:hint="eastAsia" w:ascii="等线" w:hAnsi="等线" w:eastAsia="等线" w:cs="等线"/>
          <w:sz w:val="24"/>
          <w:szCs w:val="24"/>
          <w:lang w:eastAsia="zh-CN"/>
        </w:rPr>
        <w:t>考生报名时，须填报志愿。志愿设为普通志愿和征集志愿（两次征集），报名时，每个考生可填报一所学校（含专业）普通志愿。普通志愿录取完成后，有关高校余下的计划在湖南招生考试信息港集中公布以及通过“潇湘成招APP”向考生公布。未录取的考生均可填报征集志愿。报考“高起本”未录取但已达到“高起专”分数线的考生，可在征集志愿时填报“高起专”志愿；报考“专升本”的考生，不能跨招生专业类填报。所有考生的志愿一经确定，一律不得更改。</w:t>
      </w:r>
    </w:p>
    <w:p>
      <w:pPr>
        <w:keepNext w:val="0"/>
        <w:keepLines w:val="0"/>
        <w:pageBreakBefore w:val="0"/>
        <w:widowControl w:val="0"/>
        <w:numPr>
          <w:ilvl w:val="0"/>
          <w:numId w:val="1"/>
        </w:numPr>
        <w:kinsoku/>
        <w:wordWrap/>
        <w:overflowPunct/>
        <w:topLinePunct w:val="0"/>
        <w:autoSpaceDE/>
        <w:autoSpaceDN/>
        <w:bidi w:val="0"/>
        <w:adjustRightInd/>
        <w:snapToGrid/>
        <w:spacing w:line="720" w:lineRule="auto"/>
        <w:textAlignment w:val="auto"/>
        <w:outlineLvl w:val="0"/>
        <w:rPr>
          <w:rFonts w:hint="eastAsia" w:ascii="等线" w:hAnsi="等线" w:eastAsia="等线" w:cs="等线"/>
          <w:b/>
          <w:bCs/>
          <w:sz w:val="28"/>
          <w:szCs w:val="28"/>
        </w:rPr>
      </w:pPr>
      <w:r>
        <w:rPr>
          <w:rFonts w:hint="eastAsia" w:ascii="等线" w:hAnsi="等线" w:eastAsia="等线" w:cs="等线"/>
          <w:b/>
          <w:bCs/>
          <w:sz w:val="28"/>
          <w:szCs w:val="28"/>
        </w:rPr>
        <w:t>考试日期、地点及科目</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textAlignment w:val="auto"/>
        <w:rPr>
          <w:rFonts w:hint="eastAsia" w:ascii="等线" w:hAnsi="等线" w:eastAsia="等线" w:cs="等线"/>
          <w:sz w:val="24"/>
          <w:szCs w:val="24"/>
        </w:rPr>
      </w:pPr>
      <w:r>
        <w:rPr>
          <w:rFonts w:hint="eastAsia" w:ascii="等线" w:hAnsi="等线" w:eastAsia="等线" w:cs="等线"/>
          <w:sz w:val="24"/>
          <w:szCs w:val="24"/>
        </w:rPr>
        <w:t>考试日期：</w:t>
      </w:r>
      <w:r>
        <w:rPr>
          <w:rFonts w:hint="eastAsia" w:ascii="等线" w:hAnsi="等线" w:eastAsia="等线" w:cs="等线"/>
          <w:sz w:val="24"/>
          <w:szCs w:val="24"/>
          <w:lang w:val="en-US" w:eastAsia="zh-CN"/>
        </w:rPr>
        <w:t>10月第三或第四个周末</w:t>
      </w:r>
      <w:r>
        <w:rPr>
          <w:rFonts w:hint="eastAsia" w:ascii="等线" w:hAnsi="等线" w:eastAsia="等线" w:cs="等线"/>
          <w:sz w:val="24"/>
          <w:szCs w:val="24"/>
        </w:rPr>
        <w:t>。</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textAlignment w:val="auto"/>
        <w:rPr>
          <w:rFonts w:hint="eastAsia" w:ascii="等线" w:hAnsi="等线" w:eastAsia="等线" w:cs="等线"/>
          <w:sz w:val="24"/>
          <w:szCs w:val="24"/>
        </w:rPr>
      </w:pPr>
      <w:r>
        <w:rPr>
          <w:rFonts w:hint="eastAsia" w:ascii="等线" w:hAnsi="等线" w:eastAsia="等线" w:cs="等线"/>
          <w:sz w:val="24"/>
          <w:szCs w:val="24"/>
        </w:rPr>
        <w:t>考试地点：以</w:t>
      </w:r>
      <w:r>
        <w:rPr>
          <w:rFonts w:hint="eastAsia" w:ascii="等线" w:hAnsi="等线" w:eastAsia="等线" w:cs="等线"/>
          <w:sz w:val="24"/>
          <w:szCs w:val="24"/>
          <w:lang w:val="en-US" w:eastAsia="zh-CN"/>
        </w:rPr>
        <w:t>考生本人</w:t>
      </w:r>
      <w:r>
        <w:rPr>
          <w:rFonts w:hint="eastAsia" w:ascii="等线" w:hAnsi="等线" w:eastAsia="等线" w:cs="等线"/>
          <w:sz w:val="24"/>
          <w:szCs w:val="24"/>
        </w:rPr>
        <w:t>准考证上的通知为准。</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textAlignment w:val="auto"/>
        <w:rPr>
          <w:rFonts w:hint="eastAsia" w:ascii="等线" w:hAnsi="等线" w:eastAsia="等线" w:cs="等线"/>
          <w:sz w:val="24"/>
          <w:szCs w:val="24"/>
        </w:rPr>
      </w:pPr>
      <w:r>
        <w:rPr>
          <w:rFonts w:hint="eastAsia" w:ascii="等线" w:hAnsi="等线" w:eastAsia="等线" w:cs="等线"/>
          <w:sz w:val="24"/>
          <w:szCs w:val="24"/>
        </w:rPr>
        <w:t>考试科目：</w:t>
      </w:r>
      <w:r>
        <w:rPr>
          <w:rFonts w:hint="eastAsia" w:ascii="等线" w:hAnsi="等线" w:eastAsia="等线" w:cs="等线"/>
          <w:sz w:val="24"/>
          <w:szCs w:val="24"/>
          <w:lang w:val="en-US" w:eastAsia="zh-CN"/>
        </w:rPr>
        <w:t xml:space="preserve"> </w:t>
      </w:r>
    </w:p>
    <w:tbl>
      <w:tblPr>
        <w:tblStyle w:val="7"/>
        <w:tblW w:w="85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3"/>
        <w:gridCol w:w="2379"/>
        <w:gridCol w:w="4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83" w:type="dxa"/>
            <w:vAlign w:val="top"/>
          </w:tcPr>
          <w:p>
            <w:pPr>
              <w:keepNext w:val="0"/>
              <w:keepLines w:val="0"/>
              <w:pageBreakBefore w:val="0"/>
              <w:widowControl w:val="0"/>
              <w:kinsoku/>
              <w:wordWrap/>
              <w:overflowPunct/>
              <w:topLinePunct w:val="0"/>
              <w:autoSpaceDE/>
              <w:autoSpaceDN/>
              <w:bidi w:val="0"/>
              <w:adjustRightInd/>
              <w:snapToGrid/>
              <w:spacing w:line="432" w:lineRule="auto"/>
              <w:jc w:val="center"/>
              <w:textAlignment w:val="auto"/>
              <w:rPr>
                <w:rFonts w:hint="eastAsia" w:ascii="等线" w:hAnsi="等线" w:eastAsia="等线" w:cs="等线"/>
                <w:b/>
                <w:bCs/>
                <w:sz w:val="22"/>
                <w:szCs w:val="22"/>
                <w:vertAlign w:val="baseline"/>
                <w:lang w:val="en-US" w:eastAsia="zh-CN"/>
              </w:rPr>
            </w:pPr>
            <w:r>
              <w:rPr>
                <w:rFonts w:hint="eastAsia" w:ascii="等线" w:hAnsi="等线" w:eastAsia="等线" w:cs="等线"/>
                <w:b/>
                <w:bCs/>
                <w:sz w:val="22"/>
                <w:szCs w:val="22"/>
                <w:vertAlign w:val="baseline"/>
                <w:lang w:val="en-US" w:eastAsia="zh-CN"/>
              </w:rPr>
              <w:t>层次</w:t>
            </w:r>
          </w:p>
        </w:tc>
        <w:tc>
          <w:tcPr>
            <w:tcW w:w="2379" w:type="dxa"/>
            <w:vAlign w:val="top"/>
          </w:tcPr>
          <w:p>
            <w:pPr>
              <w:keepNext w:val="0"/>
              <w:keepLines w:val="0"/>
              <w:pageBreakBefore w:val="0"/>
              <w:widowControl w:val="0"/>
              <w:kinsoku/>
              <w:wordWrap/>
              <w:overflowPunct/>
              <w:topLinePunct w:val="0"/>
              <w:autoSpaceDE/>
              <w:autoSpaceDN/>
              <w:bidi w:val="0"/>
              <w:adjustRightInd/>
              <w:snapToGrid/>
              <w:spacing w:line="432" w:lineRule="auto"/>
              <w:jc w:val="center"/>
              <w:textAlignment w:val="auto"/>
              <w:rPr>
                <w:rFonts w:hint="eastAsia" w:ascii="等线" w:hAnsi="等线" w:eastAsia="等线" w:cs="等线"/>
                <w:b/>
                <w:bCs/>
                <w:sz w:val="22"/>
                <w:szCs w:val="22"/>
                <w:vertAlign w:val="baseline"/>
                <w:lang w:val="en-US" w:eastAsia="zh-CN"/>
              </w:rPr>
            </w:pPr>
            <w:r>
              <w:rPr>
                <w:rFonts w:hint="eastAsia" w:ascii="等线" w:hAnsi="等线" w:eastAsia="等线" w:cs="等线"/>
                <w:b/>
                <w:bCs/>
                <w:sz w:val="22"/>
                <w:szCs w:val="22"/>
                <w:vertAlign w:val="baseline"/>
                <w:lang w:val="en-US" w:eastAsia="zh-CN"/>
              </w:rPr>
              <w:t>专业类别</w:t>
            </w:r>
          </w:p>
        </w:tc>
        <w:tc>
          <w:tcPr>
            <w:tcW w:w="4833" w:type="dxa"/>
            <w:vAlign w:val="top"/>
          </w:tcPr>
          <w:p>
            <w:pPr>
              <w:keepNext w:val="0"/>
              <w:keepLines w:val="0"/>
              <w:pageBreakBefore w:val="0"/>
              <w:widowControl w:val="0"/>
              <w:kinsoku/>
              <w:wordWrap/>
              <w:overflowPunct/>
              <w:topLinePunct w:val="0"/>
              <w:autoSpaceDE/>
              <w:autoSpaceDN/>
              <w:bidi w:val="0"/>
              <w:adjustRightInd/>
              <w:snapToGrid/>
              <w:spacing w:line="432" w:lineRule="auto"/>
              <w:jc w:val="center"/>
              <w:textAlignment w:val="auto"/>
              <w:rPr>
                <w:rFonts w:hint="eastAsia" w:ascii="等线" w:hAnsi="等线" w:eastAsia="等线" w:cs="等线"/>
                <w:b/>
                <w:bCs/>
                <w:sz w:val="22"/>
                <w:szCs w:val="22"/>
                <w:vertAlign w:val="baseline"/>
                <w:lang w:val="en-US" w:eastAsia="zh-CN"/>
              </w:rPr>
            </w:pPr>
            <w:r>
              <w:rPr>
                <w:rFonts w:hint="eastAsia" w:ascii="等线" w:hAnsi="等线" w:eastAsia="等线" w:cs="等线"/>
                <w:b/>
                <w:bCs/>
                <w:sz w:val="22"/>
                <w:szCs w:val="22"/>
                <w:vertAlign w:val="baseline"/>
                <w:lang w:val="en-US" w:eastAsia="zh-CN"/>
              </w:rPr>
              <w:t>考试科目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3" w:type="dxa"/>
            <w:vMerge w:val="restart"/>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高起专</w:t>
            </w:r>
          </w:p>
        </w:tc>
        <w:tc>
          <w:tcPr>
            <w:tcW w:w="2379"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文史类</w:t>
            </w:r>
          </w:p>
        </w:tc>
        <w:tc>
          <w:tcPr>
            <w:tcW w:w="4833"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语文、数学(文)、外语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3" w:type="dxa"/>
            <w:vMerge w:val="continue"/>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p>
        </w:tc>
        <w:tc>
          <w:tcPr>
            <w:tcW w:w="2379"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理工类</w:t>
            </w:r>
          </w:p>
        </w:tc>
        <w:tc>
          <w:tcPr>
            <w:tcW w:w="4833"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语文、数学(理)、外语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3" w:type="dxa"/>
            <w:vMerge w:val="restart"/>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高起本</w:t>
            </w:r>
          </w:p>
        </w:tc>
        <w:tc>
          <w:tcPr>
            <w:tcW w:w="2379"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文史类</w:t>
            </w:r>
          </w:p>
        </w:tc>
        <w:tc>
          <w:tcPr>
            <w:tcW w:w="4833"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语文、数学(文)、外语、史地综合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3" w:type="dxa"/>
            <w:vMerge w:val="continue"/>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p>
        </w:tc>
        <w:tc>
          <w:tcPr>
            <w:tcW w:w="2379"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理工类</w:t>
            </w:r>
          </w:p>
        </w:tc>
        <w:tc>
          <w:tcPr>
            <w:tcW w:w="4833"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语文、数学(理)、外语、物化综合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3" w:type="dxa"/>
            <w:vMerge w:val="restart"/>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专升本</w:t>
            </w:r>
          </w:p>
        </w:tc>
        <w:tc>
          <w:tcPr>
            <w:tcW w:w="2379"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经济管理类</w:t>
            </w:r>
          </w:p>
        </w:tc>
        <w:tc>
          <w:tcPr>
            <w:tcW w:w="4833"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宋体"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政治、外语、高等数学(二)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3" w:type="dxa"/>
            <w:vMerge w:val="continue"/>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p>
        </w:tc>
        <w:tc>
          <w:tcPr>
            <w:tcW w:w="2379"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理工类</w:t>
            </w:r>
          </w:p>
        </w:tc>
        <w:tc>
          <w:tcPr>
            <w:tcW w:w="4833"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政治、外语、高等数学(一)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3" w:type="dxa"/>
            <w:vMerge w:val="continue"/>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p>
        </w:tc>
        <w:tc>
          <w:tcPr>
            <w:tcW w:w="2379"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文史、中医类</w:t>
            </w:r>
          </w:p>
        </w:tc>
        <w:tc>
          <w:tcPr>
            <w:tcW w:w="4833"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政治、外语、大学语文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3" w:type="dxa"/>
            <w:vMerge w:val="continue"/>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p>
        </w:tc>
        <w:tc>
          <w:tcPr>
            <w:tcW w:w="2379"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法学类</w:t>
            </w:r>
          </w:p>
        </w:tc>
        <w:tc>
          <w:tcPr>
            <w:tcW w:w="4833"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政治、外语、民法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3" w:type="dxa"/>
            <w:vMerge w:val="continue"/>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p>
        </w:tc>
        <w:tc>
          <w:tcPr>
            <w:tcW w:w="2379"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教育学类</w:t>
            </w:r>
          </w:p>
        </w:tc>
        <w:tc>
          <w:tcPr>
            <w:tcW w:w="4833"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政治、外语、教育理论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3" w:type="dxa"/>
            <w:vMerge w:val="continue"/>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p>
        </w:tc>
        <w:tc>
          <w:tcPr>
            <w:tcW w:w="2379"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农学类</w:t>
            </w:r>
          </w:p>
        </w:tc>
        <w:tc>
          <w:tcPr>
            <w:tcW w:w="4833"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政治、外语、生态学基础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3" w:type="dxa"/>
            <w:vMerge w:val="continue"/>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p>
        </w:tc>
        <w:tc>
          <w:tcPr>
            <w:tcW w:w="2379"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医学类</w:t>
            </w:r>
          </w:p>
        </w:tc>
        <w:tc>
          <w:tcPr>
            <w:tcW w:w="4833"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政治、外语、医学综合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3" w:type="dxa"/>
            <w:vMerge w:val="continue"/>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p>
        </w:tc>
        <w:tc>
          <w:tcPr>
            <w:tcW w:w="2379"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艺术类</w:t>
            </w:r>
          </w:p>
        </w:tc>
        <w:tc>
          <w:tcPr>
            <w:tcW w:w="4833" w:type="dxa"/>
            <w:vAlign w:val="top"/>
          </w:tcPr>
          <w:p>
            <w:pPr>
              <w:keepNext w:val="0"/>
              <w:keepLines w:val="0"/>
              <w:pageBreakBefore w:val="0"/>
              <w:widowControl w:val="0"/>
              <w:kinsoku/>
              <w:wordWrap/>
              <w:overflowPunct/>
              <w:topLinePunct w:val="0"/>
              <w:autoSpaceDE/>
              <w:autoSpaceDN/>
              <w:bidi w:val="0"/>
              <w:adjustRightInd/>
              <w:snapToGrid/>
              <w:spacing w:line="456" w:lineRule="auto"/>
              <w:jc w:val="center"/>
              <w:textAlignment w:val="auto"/>
              <w:rPr>
                <w:rFonts w:hint="eastAsia"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政治、外语、艺术概论</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注：1．2023年成人高考依据教育部教育考试院（原教育部考试中心）制定的《全国各类成人高等学校招生复习考试大纲（2020年版）》命题。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rPr>
      </w:pPr>
      <w:r>
        <w:rPr>
          <w:rFonts w:hint="eastAsia" w:ascii="等线" w:hAnsi="等线" w:eastAsia="等线" w:cs="等线"/>
          <w:sz w:val="24"/>
          <w:szCs w:val="24"/>
          <w:lang w:val="en-US" w:eastAsia="zh-CN"/>
        </w:rPr>
        <w:t>2．专科起点升本科招生专业所对应的考试科目按《专科起点升本科招生专业与统一考试科目对照表》（教学厅〔2017〕12号文件附件4）等有关文件执行。</w:t>
      </w:r>
    </w:p>
    <w:p>
      <w:pPr>
        <w:keepNext w:val="0"/>
        <w:keepLines w:val="0"/>
        <w:pageBreakBefore w:val="0"/>
        <w:widowControl w:val="0"/>
        <w:numPr>
          <w:ilvl w:val="0"/>
          <w:numId w:val="1"/>
        </w:numPr>
        <w:kinsoku/>
        <w:wordWrap/>
        <w:overflowPunct/>
        <w:topLinePunct w:val="0"/>
        <w:autoSpaceDE/>
        <w:autoSpaceDN/>
        <w:bidi w:val="0"/>
        <w:adjustRightInd/>
        <w:snapToGrid/>
        <w:spacing w:line="720" w:lineRule="auto"/>
        <w:textAlignment w:val="auto"/>
        <w:outlineLvl w:val="0"/>
        <w:rPr>
          <w:rFonts w:hint="eastAsia" w:ascii="等线" w:hAnsi="等线" w:eastAsia="等线" w:cs="等线"/>
          <w:b/>
          <w:bCs/>
          <w:sz w:val="28"/>
          <w:szCs w:val="28"/>
          <w:lang w:val="en-US" w:eastAsia="zh-CN"/>
        </w:rPr>
      </w:pPr>
      <w:r>
        <w:rPr>
          <w:rFonts w:hint="eastAsia" w:ascii="等线" w:hAnsi="等线" w:eastAsia="等线" w:cs="等线"/>
          <w:b/>
          <w:bCs/>
          <w:sz w:val="28"/>
          <w:szCs w:val="28"/>
          <w:lang w:val="en-US" w:eastAsia="zh-CN"/>
        </w:rPr>
        <w:t>成绩公布及录取</w:t>
      </w:r>
    </w:p>
    <w:tbl>
      <w:tblPr>
        <w:tblStyle w:val="7"/>
        <w:tblpPr w:leftFromText="180" w:rightFromText="180" w:vertAnchor="text" w:horzAnchor="page" w:tblpXSpec="center" w:tblpY="103"/>
        <w:tblOverlap w:val="never"/>
        <w:tblW w:w="9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2032"/>
        <w:gridCol w:w="1012"/>
        <w:gridCol w:w="1012"/>
        <w:gridCol w:w="1012"/>
        <w:gridCol w:w="1012"/>
        <w:gridCol w:w="1012"/>
        <w:gridCol w:w="1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9361" w:type="dxa"/>
            <w:gridSpan w:val="8"/>
          </w:tcPr>
          <w:p>
            <w:pPr>
              <w:keepNext w:val="0"/>
              <w:keepLines w:val="0"/>
              <w:pageBreakBefore w:val="0"/>
              <w:widowControl w:val="0"/>
              <w:numPr>
                <w:ilvl w:val="0"/>
                <w:numId w:val="0"/>
              </w:numPr>
              <w:kinsoku/>
              <w:wordWrap/>
              <w:overflowPunct/>
              <w:topLinePunct w:val="0"/>
              <w:autoSpaceDE/>
              <w:autoSpaceDN/>
              <w:bidi w:val="0"/>
              <w:adjustRightInd/>
              <w:snapToGrid/>
              <w:spacing w:line="600" w:lineRule="auto"/>
              <w:jc w:val="center"/>
              <w:textAlignment w:val="auto"/>
              <w:rPr>
                <w:rFonts w:hint="default" w:ascii="等线" w:hAnsi="等线" w:eastAsia="等线" w:cs="等线"/>
                <w:b/>
                <w:bCs/>
                <w:sz w:val="28"/>
                <w:szCs w:val="28"/>
                <w:vertAlign w:val="baseline"/>
                <w:lang w:val="en-US" w:eastAsia="zh-CN"/>
              </w:rPr>
            </w:pPr>
            <w:r>
              <w:rPr>
                <w:rFonts w:hint="default" w:ascii="等线" w:hAnsi="等线" w:eastAsia="等线" w:cs="等线"/>
                <w:b/>
                <w:bCs/>
                <w:sz w:val="28"/>
                <w:szCs w:val="28"/>
                <w:vertAlign w:val="baseline"/>
                <w:lang w:val="en-US" w:eastAsia="zh-CN"/>
              </w:rPr>
              <w:t>湖南省</w:t>
            </w:r>
            <w:r>
              <w:rPr>
                <w:rFonts w:hint="eastAsia" w:ascii="等线" w:hAnsi="等线" w:eastAsia="等线" w:cs="等线"/>
                <w:b/>
                <w:bCs/>
                <w:sz w:val="28"/>
                <w:szCs w:val="28"/>
                <w:vertAlign w:val="baseline"/>
                <w:lang w:val="en-US" w:eastAsia="zh-CN"/>
              </w:rPr>
              <w:t>历年</w:t>
            </w:r>
            <w:r>
              <w:rPr>
                <w:rFonts w:hint="default" w:ascii="等线" w:hAnsi="等线" w:eastAsia="等线" w:cs="等线"/>
                <w:b/>
                <w:bCs/>
                <w:sz w:val="28"/>
                <w:szCs w:val="28"/>
                <w:vertAlign w:val="baseline"/>
                <w:lang w:val="en-US" w:eastAsia="zh-CN"/>
              </w:rPr>
              <w:t>成人高校招生录取控制分数线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层次</w:t>
            </w:r>
          </w:p>
        </w:tc>
        <w:tc>
          <w:tcPr>
            <w:tcW w:w="203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类别</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2023</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2022</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2021</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2020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2019</w:t>
            </w:r>
          </w:p>
        </w:tc>
        <w:tc>
          <w:tcPr>
            <w:tcW w:w="100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7" w:type="dxa"/>
            <w:vMerge w:val="restart"/>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960" w:lineRule="auto"/>
              <w:jc w:val="center"/>
              <w:textAlignment w:val="auto"/>
              <w:rPr>
                <w:rFonts w:hint="default" w:ascii="等线" w:hAnsi="等线" w:eastAsia="等线" w:cs="等线"/>
                <w:b w:val="0"/>
                <w:bCs w:val="0"/>
                <w:sz w:val="24"/>
                <w:szCs w:val="24"/>
                <w:vertAlign w:val="baseline"/>
                <w:lang w:val="en-US" w:eastAsia="zh-CN"/>
              </w:rPr>
            </w:pPr>
            <w:r>
              <w:rPr>
                <w:rFonts w:hint="eastAsia" w:ascii="等线" w:hAnsi="等线" w:eastAsia="等线" w:cs="等线"/>
                <w:b w:val="0"/>
                <w:bCs w:val="0"/>
                <w:sz w:val="24"/>
                <w:szCs w:val="24"/>
                <w:vertAlign w:val="baseline"/>
                <w:lang w:val="en-US" w:eastAsia="zh-CN"/>
              </w:rPr>
              <w:t>高起专</w:t>
            </w:r>
          </w:p>
        </w:tc>
        <w:tc>
          <w:tcPr>
            <w:tcW w:w="203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文史类</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110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val="0"/>
                <w:bCs w:val="0"/>
                <w:sz w:val="24"/>
                <w:szCs w:val="24"/>
                <w:vertAlign w:val="baseline"/>
                <w:lang w:val="en-US" w:eastAsia="zh-CN"/>
              </w:rPr>
            </w:pPr>
            <w:r>
              <w:rPr>
                <w:rFonts w:hint="default" w:ascii="等线" w:hAnsi="等线" w:eastAsia="等线" w:cs="等线"/>
                <w:b w:val="0"/>
                <w:bCs w:val="0"/>
                <w:sz w:val="24"/>
                <w:szCs w:val="24"/>
                <w:vertAlign w:val="baseline"/>
                <w:lang w:val="en-US" w:eastAsia="zh-CN"/>
              </w:rPr>
              <w:t>100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b w:val="0"/>
                <w:bCs w:val="0"/>
                <w:sz w:val="24"/>
                <w:szCs w:val="24"/>
                <w:vertAlign w:val="baseline"/>
                <w:lang w:val="en-US" w:eastAsia="zh-CN"/>
              </w:rPr>
              <w:t>127</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140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156</w:t>
            </w:r>
          </w:p>
        </w:tc>
        <w:tc>
          <w:tcPr>
            <w:tcW w:w="100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7"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等线" w:hAnsi="等线" w:eastAsia="等线" w:cs="等线"/>
                <w:b w:val="0"/>
                <w:bCs w:val="0"/>
                <w:sz w:val="24"/>
                <w:szCs w:val="24"/>
                <w:vertAlign w:val="baseline"/>
                <w:lang w:val="en-US" w:eastAsia="zh-CN"/>
              </w:rPr>
            </w:pPr>
          </w:p>
        </w:tc>
        <w:tc>
          <w:tcPr>
            <w:tcW w:w="203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center"/>
              <w:textAlignment w:val="auto"/>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理工类</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104</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val="0"/>
                <w:bCs w:val="0"/>
                <w:sz w:val="24"/>
                <w:szCs w:val="24"/>
                <w:vertAlign w:val="baseline"/>
                <w:lang w:val="en-US" w:eastAsia="zh-CN"/>
              </w:rPr>
            </w:pPr>
            <w:r>
              <w:rPr>
                <w:rFonts w:hint="default" w:ascii="等线" w:hAnsi="等线" w:eastAsia="等线" w:cs="等线"/>
                <w:b w:val="0"/>
                <w:bCs w:val="0"/>
                <w:sz w:val="24"/>
                <w:szCs w:val="24"/>
                <w:vertAlign w:val="baseline"/>
                <w:lang w:val="en-US" w:eastAsia="zh-CN"/>
              </w:rPr>
              <w:t>100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b w:val="0"/>
                <w:bCs w:val="0"/>
                <w:sz w:val="24"/>
                <w:szCs w:val="24"/>
                <w:vertAlign w:val="baseline"/>
                <w:lang w:val="en-US" w:eastAsia="zh-CN"/>
              </w:rPr>
              <w:t>127</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124</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128</w:t>
            </w:r>
          </w:p>
        </w:tc>
        <w:tc>
          <w:tcPr>
            <w:tcW w:w="100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7" w:type="dxa"/>
            <w:vMerge w:val="restart"/>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960" w:lineRule="auto"/>
              <w:jc w:val="center"/>
              <w:textAlignment w:val="auto"/>
              <w:rPr>
                <w:rFonts w:hint="default" w:ascii="等线" w:hAnsi="等线" w:eastAsia="等线" w:cs="等线"/>
                <w:b w:val="0"/>
                <w:bCs w:val="0"/>
                <w:sz w:val="24"/>
                <w:szCs w:val="24"/>
                <w:vertAlign w:val="baseline"/>
                <w:lang w:val="en-US" w:eastAsia="zh-CN"/>
              </w:rPr>
            </w:pPr>
            <w:r>
              <w:rPr>
                <w:rFonts w:hint="eastAsia" w:ascii="等线" w:hAnsi="等线" w:eastAsia="等线" w:cs="等线"/>
                <w:b w:val="0"/>
                <w:bCs w:val="0"/>
                <w:sz w:val="24"/>
                <w:szCs w:val="24"/>
                <w:vertAlign w:val="baseline"/>
                <w:lang w:val="en-US" w:eastAsia="zh-CN"/>
              </w:rPr>
              <w:t>高起本</w:t>
            </w:r>
          </w:p>
        </w:tc>
        <w:tc>
          <w:tcPr>
            <w:tcW w:w="203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firstLine="0" w:firstLineChars="0"/>
              <w:jc w:val="center"/>
              <w:textAlignment w:val="auto"/>
              <w:rPr>
                <w:rFonts w:hint="default" w:ascii="等线" w:hAnsi="等线" w:eastAsia="等线" w:cs="等线"/>
                <w:b w:val="0"/>
                <w:bCs w:val="0"/>
                <w:kern w:val="2"/>
                <w:sz w:val="22"/>
                <w:szCs w:val="22"/>
                <w:vertAlign w:val="baseline"/>
                <w:lang w:val="en-US" w:eastAsia="zh-CN" w:bidi="ar-SA"/>
              </w:rPr>
            </w:pPr>
            <w:r>
              <w:rPr>
                <w:rFonts w:hint="eastAsia" w:ascii="等线" w:hAnsi="等线" w:eastAsia="等线" w:cs="等线"/>
                <w:b w:val="0"/>
                <w:bCs w:val="0"/>
                <w:sz w:val="22"/>
                <w:szCs w:val="22"/>
                <w:vertAlign w:val="baseline"/>
                <w:lang w:val="en-US" w:eastAsia="zh-CN"/>
              </w:rPr>
              <w:t>文史类</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115</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val="0"/>
                <w:bCs w:val="0"/>
                <w:sz w:val="24"/>
                <w:szCs w:val="24"/>
                <w:vertAlign w:val="baseline"/>
                <w:lang w:val="en-US" w:eastAsia="zh-CN"/>
              </w:rPr>
            </w:pPr>
            <w:r>
              <w:rPr>
                <w:rFonts w:hint="default" w:ascii="等线" w:hAnsi="等线" w:eastAsia="等线" w:cs="等线"/>
                <w:b w:val="0"/>
                <w:bCs w:val="0"/>
                <w:sz w:val="24"/>
                <w:szCs w:val="24"/>
                <w:vertAlign w:val="baseline"/>
                <w:lang w:val="en-US" w:eastAsia="zh-CN"/>
              </w:rPr>
              <w:t>110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b w:val="0"/>
                <w:bCs w:val="0"/>
                <w:sz w:val="24"/>
                <w:szCs w:val="24"/>
                <w:vertAlign w:val="baseline"/>
                <w:lang w:val="en-US" w:eastAsia="zh-CN"/>
              </w:rPr>
              <w:t>130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134</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216</w:t>
            </w:r>
          </w:p>
        </w:tc>
        <w:tc>
          <w:tcPr>
            <w:tcW w:w="100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7"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等线" w:hAnsi="等线" w:eastAsia="等线" w:cs="等线"/>
                <w:b w:val="0"/>
                <w:bCs w:val="0"/>
                <w:sz w:val="24"/>
                <w:szCs w:val="24"/>
                <w:vertAlign w:val="baseline"/>
                <w:lang w:val="en-US" w:eastAsia="zh-CN"/>
              </w:rPr>
            </w:pPr>
          </w:p>
        </w:tc>
        <w:tc>
          <w:tcPr>
            <w:tcW w:w="203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firstLine="0" w:firstLineChars="0"/>
              <w:jc w:val="center"/>
              <w:textAlignment w:val="auto"/>
              <w:rPr>
                <w:rFonts w:hint="default" w:ascii="等线" w:hAnsi="等线" w:eastAsia="等线" w:cs="等线"/>
                <w:b w:val="0"/>
                <w:bCs w:val="0"/>
                <w:kern w:val="2"/>
                <w:sz w:val="22"/>
                <w:szCs w:val="22"/>
                <w:vertAlign w:val="baseline"/>
                <w:lang w:val="en-US" w:eastAsia="zh-CN" w:bidi="ar-SA"/>
              </w:rPr>
            </w:pPr>
            <w:r>
              <w:rPr>
                <w:rFonts w:hint="eastAsia" w:ascii="等线" w:hAnsi="等线" w:eastAsia="等线" w:cs="等线"/>
                <w:b w:val="0"/>
                <w:bCs w:val="0"/>
                <w:sz w:val="22"/>
                <w:szCs w:val="22"/>
                <w:vertAlign w:val="baseline"/>
                <w:lang w:val="en-US" w:eastAsia="zh-CN"/>
              </w:rPr>
              <w:t>理工类</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109</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val="0"/>
                <w:bCs w:val="0"/>
                <w:sz w:val="24"/>
                <w:szCs w:val="24"/>
                <w:vertAlign w:val="baseline"/>
                <w:lang w:val="en-US" w:eastAsia="zh-CN"/>
              </w:rPr>
            </w:pPr>
            <w:r>
              <w:rPr>
                <w:rFonts w:hint="default" w:ascii="等线" w:hAnsi="等线" w:eastAsia="等线" w:cs="等线"/>
                <w:b w:val="0"/>
                <w:bCs w:val="0"/>
                <w:sz w:val="24"/>
                <w:szCs w:val="24"/>
                <w:vertAlign w:val="baseline"/>
                <w:lang w:val="en-US" w:eastAsia="zh-CN"/>
              </w:rPr>
              <w:t>110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b w:val="0"/>
                <w:bCs w:val="0"/>
                <w:sz w:val="24"/>
                <w:szCs w:val="24"/>
                <w:vertAlign w:val="baseline"/>
                <w:lang w:val="en-US" w:eastAsia="zh-CN"/>
              </w:rPr>
              <w:t>130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158</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171</w:t>
            </w:r>
          </w:p>
        </w:tc>
        <w:tc>
          <w:tcPr>
            <w:tcW w:w="100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7" w:type="dxa"/>
            <w:vMerge w:val="restart"/>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等线" w:hAnsi="等线" w:eastAsia="等线" w:cs="等线"/>
                <w:b w:val="0"/>
                <w:bCs w:val="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等线" w:hAnsi="等线" w:eastAsia="等线" w:cs="等线"/>
                <w:b w:val="0"/>
                <w:bCs w:val="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等线" w:hAnsi="等线" w:eastAsia="等线" w:cs="等线"/>
                <w:b w:val="0"/>
                <w:bCs w:val="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等线" w:hAnsi="等线" w:eastAsia="等线" w:cs="等线"/>
                <w:b w:val="0"/>
                <w:bCs w:val="0"/>
                <w:sz w:val="24"/>
                <w:szCs w:val="24"/>
                <w:vertAlign w:val="baseline"/>
                <w:lang w:val="en-US" w:eastAsia="zh-CN"/>
              </w:rPr>
            </w:pPr>
            <w:r>
              <w:rPr>
                <w:rFonts w:hint="eastAsia" w:ascii="等线" w:hAnsi="等线" w:eastAsia="等线" w:cs="等线"/>
                <w:b w:val="0"/>
                <w:bCs w:val="0"/>
                <w:sz w:val="24"/>
                <w:szCs w:val="24"/>
                <w:vertAlign w:val="baseline"/>
                <w:lang w:val="en-US" w:eastAsia="zh-CN"/>
              </w:rPr>
              <w:t>专升本</w:t>
            </w:r>
          </w:p>
        </w:tc>
        <w:tc>
          <w:tcPr>
            <w:tcW w:w="2032" w:type="dxa"/>
            <w:vAlign w:val="top"/>
          </w:tcPr>
          <w:p>
            <w:pPr>
              <w:spacing w:line="480" w:lineRule="auto"/>
              <w:jc w:val="center"/>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经济管理类</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119</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val="0"/>
                <w:bCs w:val="0"/>
                <w:sz w:val="24"/>
                <w:szCs w:val="24"/>
                <w:vertAlign w:val="baseline"/>
                <w:lang w:val="en-US" w:eastAsia="zh-CN"/>
              </w:rPr>
            </w:pPr>
            <w:r>
              <w:rPr>
                <w:rFonts w:hint="default" w:ascii="等线" w:hAnsi="等线" w:eastAsia="等线" w:cs="等线"/>
                <w:b w:val="0"/>
                <w:bCs w:val="0"/>
                <w:sz w:val="24"/>
                <w:szCs w:val="24"/>
                <w:vertAlign w:val="baseline"/>
                <w:lang w:val="en-US" w:eastAsia="zh-CN"/>
              </w:rPr>
              <w:t>100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b w:val="0"/>
                <w:bCs w:val="0"/>
                <w:sz w:val="24"/>
                <w:szCs w:val="24"/>
                <w:vertAlign w:val="baseline"/>
                <w:lang w:val="en-US" w:eastAsia="zh-CN"/>
              </w:rPr>
              <w:t>101</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128</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126</w:t>
            </w:r>
          </w:p>
        </w:tc>
        <w:tc>
          <w:tcPr>
            <w:tcW w:w="100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7"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等线" w:hAnsi="等线" w:eastAsia="等线" w:cs="等线"/>
                <w:b w:val="0"/>
                <w:bCs w:val="0"/>
                <w:sz w:val="24"/>
                <w:szCs w:val="24"/>
                <w:vertAlign w:val="baseline"/>
                <w:lang w:val="en-US" w:eastAsia="zh-CN"/>
              </w:rPr>
            </w:pPr>
          </w:p>
        </w:tc>
        <w:tc>
          <w:tcPr>
            <w:tcW w:w="2032" w:type="dxa"/>
            <w:vAlign w:val="top"/>
          </w:tcPr>
          <w:p>
            <w:pPr>
              <w:spacing w:line="480" w:lineRule="auto"/>
              <w:jc w:val="center"/>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理工类</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114</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val="0"/>
                <w:bCs w:val="0"/>
                <w:sz w:val="24"/>
                <w:szCs w:val="24"/>
                <w:vertAlign w:val="baseline"/>
                <w:lang w:val="en-US" w:eastAsia="zh-CN"/>
              </w:rPr>
            </w:pPr>
            <w:r>
              <w:rPr>
                <w:rFonts w:hint="default" w:ascii="等线" w:hAnsi="等线" w:eastAsia="等线" w:cs="等线"/>
                <w:b w:val="0"/>
                <w:bCs w:val="0"/>
                <w:sz w:val="24"/>
                <w:szCs w:val="24"/>
                <w:vertAlign w:val="baseline"/>
                <w:lang w:val="en-US" w:eastAsia="zh-CN"/>
              </w:rPr>
              <w:t>100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b w:val="0"/>
                <w:bCs w:val="0"/>
                <w:sz w:val="24"/>
                <w:szCs w:val="24"/>
                <w:vertAlign w:val="baseline"/>
                <w:lang w:val="en-US" w:eastAsia="zh-CN"/>
              </w:rPr>
              <w:t>100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127</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139</w:t>
            </w:r>
          </w:p>
        </w:tc>
        <w:tc>
          <w:tcPr>
            <w:tcW w:w="100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7"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等线" w:hAnsi="等线" w:eastAsia="等线" w:cs="等线"/>
                <w:b w:val="0"/>
                <w:bCs w:val="0"/>
                <w:sz w:val="24"/>
                <w:szCs w:val="24"/>
                <w:vertAlign w:val="baseline"/>
                <w:lang w:val="en-US" w:eastAsia="zh-CN"/>
              </w:rPr>
            </w:pPr>
          </w:p>
        </w:tc>
        <w:tc>
          <w:tcPr>
            <w:tcW w:w="2032" w:type="dxa"/>
            <w:vAlign w:val="top"/>
          </w:tcPr>
          <w:p>
            <w:pPr>
              <w:spacing w:line="480" w:lineRule="auto"/>
              <w:jc w:val="center"/>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文史、中医类</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182</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val="0"/>
                <w:bCs w:val="0"/>
                <w:sz w:val="24"/>
                <w:szCs w:val="24"/>
                <w:vertAlign w:val="baseline"/>
                <w:lang w:val="en-US" w:eastAsia="zh-CN"/>
              </w:rPr>
            </w:pPr>
            <w:r>
              <w:rPr>
                <w:rFonts w:hint="default" w:ascii="等线" w:hAnsi="等线" w:eastAsia="等线" w:cs="等线"/>
                <w:b w:val="0"/>
                <w:bCs w:val="0"/>
                <w:sz w:val="24"/>
                <w:szCs w:val="24"/>
                <w:vertAlign w:val="baseline"/>
                <w:lang w:val="en-US" w:eastAsia="zh-CN"/>
              </w:rPr>
              <w:t>177</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b w:val="0"/>
                <w:bCs w:val="0"/>
                <w:sz w:val="24"/>
                <w:szCs w:val="24"/>
                <w:vertAlign w:val="baseline"/>
                <w:lang w:val="en-US" w:eastAsia="zh-CN"/>
              </w:rPr>
              <w:t>174</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195</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193</w:t>
            </w:r>
          </w:p>
        </w:tc>
        <w:tc>
          <w:tcPr>
            <w:tcW w:w="100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7"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等线" w:hAnsi="等线" w:eastAsia="等线" w:cs="等线"/>
                <w:b w:val="0"/>
                <w:bCs w:val="0"/>
                <w:sz w:val="24"/>
                <w:szCs w:val="24"/>
                <w:vertAlign w:val="baseline"/>
                <w:lang w:val="en-US" w:eastAsia="zh-CN"/>
              </w:rPr>
            </w:pPr>
          </w:p>
        </w:tc>
        <w:tc>
          <w:tcPr>
            <w:tcW w:w="2032" w:type="dxa"/>
            <w:vAlign w:val="top"/>
          </w:tcPr>
          <w:p>
            <w:pPr>
              <w:spacing w:line="480" w:lineRule="auto"/>
              <w:jc w:val="center"/>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法学类</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176</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val="0"/>
                <w:bCs w:val="0"/>
                <w:sz w:val="24"/>
                <w:szCs w:val="24"/>
                <w:vertAlign w:val="baseline"/>
                <w:lang w:val="en-US" w:eastAsia="zh-CN"/>
              </w:rPr>
            </w:pPr>
            <w:r>
              <w:rPr>
                <w:rFonts w:hint="default" w:ascii="等线" w:hAnsi="等线" w:eastAsia="等线" w:cs="等线"/>
                <w:b w:val="0"/>
                <w:bCs w:val="0"/>
                <w:sz w:val="24"/>
                <w:szCs w:val="24"/>
                <w:vertAlign w:val="baseline"/>
                <w:lang w:val="en-US" w:eastAsia="zh-CN"/>
              </w:rPr>
              <w:t>100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b w:val="0"/>
                <w:bCs w:val="0"/>
                <w:sz w:val="24"/>
                <w:szCs w:val="24"/>
                <w:vertAlign w:val="baseline"/>
                <w:lang w:val="en-US" w:eastAsia="zh-CN"/>
              </w:rPr>
              <w:t>100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191</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181</w:t>
            </w:r>
          </w:p>
        </w:tc>
        <w:tc>
          <w:tcPr>
            <w:tcW w:w="100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7"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等线" w:hAnsi="等线" w:eastAsia="等线" w:cs="等线"/>
                <w:b w:val="0"/>
                <w:bCs w:val="0"/>
                <w:sz w:val="24"/>
                <w:szCs w:val="24"/>
                <w:vertAlign w:val="baseline"/>
                <w:lang w:val="en-US" w:eastAsia="zh-CN"/>
              </w:rPr>
            </w:pPr>
          </w:p>
        </w:tc>
        <w:tc>
          <w:tcPr>
            <w:tcW w:w="2032" w:type="dxa"/>
            <w:vAlign w:val="top"/>
          </w:tcPr>
          <w:p>
            <w:pPr>
              <w:spacing w:line="480" w:lineRule="auto"/>
              <w:jc w:val="center"/>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教育学类</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160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val="0"/>
                <w:bCs w:val="0"/>
                <w:sz w:val="24"/>
                <w:szCs w:val="24"/>
                <w:vertAlign w:val="baseline"/>
                <w:lang w:val="en-US" w:eastAsia="zh-CN"/>
              </w:rPr>
            </w:pPr>
            <w:r>
              <w:rPr>
                <w:rFonts w:hint="default" w:ascii="等线" w:hAnsi="等线" w:eastAsia="等线" w:cs="等线"/>
                <w:b w:val="0"/>
                <w:bCs w:val="0"/>
                <w:sz w:val="24"/>
                <w:szCs w:val="24"/>
                <w:vertAlign w:val="baseline"/>
                <w:lang w:val="en-US" w:eastAsia="zh-CN"/>
              </w:rPr>
              <w:t>158</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b w:val="0"/>
                <w:bCs w:val="0"/>
                <w:sz w:val="24"/>
                <w:szCs w:val="24"/>
                <w:vertAlign w:val="baseline"/>
                <w:lang w:val="en-US" w:eastAsia="zh-CN"/>
              </w:rPr>
              <w:t>168</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180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195</w:t>
            </w:r>
          </w:p>
        </w:tc>
        <w:tc>
          <w:tcPr>
            <w:tcW w:w="100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7"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等线" w:hAnsi="等线" w:eastAsia="等线" w:cs="等线"/>
                <w:b w:val="0"/>
                <w:bCs w:val="0"/>
                <w:sz w:val="24"/>
                <w:szCs w:val="24"/>
                <w:vertAlign w:val="baseline"/>
                <w:lang w:val="en-US" w:eastAsia="zh-CN"/>
              </w:rPr>
            </w:pPr>
          </w:p>
        </w:tc>
        <w:tc>
          <w:tcPr>
            <w:tcW w:w="2032" w:type="dxa"/>
            <w:vAlign w:val="top"/>
          </w:tcPr>
          <w:p>
            <w:pPr>
              <w:spacing w:line="480" w:lineRule="auto"/>
              <w:jc w:val="center"/>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农学类</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133</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val="0"/>
                <w:bCs w:val="0"/>
                <w:sz w:val="24"/>
                <w:szCs w:val="24"/>
                <w:vertAlign w:val="baseline"/>
                <w:lang w:val="en-US" w:eastAsia="zh-CN"/>
              </w:rPr>
            </w:pPr>
            <w:r>
              <w:rPr>
                <w:rFonts w:hint="default" w:ascii="等线" w:hAnsi="等线" w:eastAsia="等线" w:cs="等线"/>
                <w:b w:val="0"/>
                <w:bCs w:val="0"/>
                <w:sz w:val="24"/>
                <w:szCs w:val="24"/>
                <w:vertAlign w:val="baseline"/>
                <w:lang w:val="en-US" w:eastAsia="zh-CN"/>
              </w:rPr>
              <w:t>100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b w:val="0"/>
                <w:bCs w:val="0"/>
                <w:sz w:val="24"/>
                <w:szCs w:val="24"/>
                <w:vertAlign w:val="baseline"/>
                <w:lang w:val="en-US" w:eastAsia="zh-CN"/>
              </w:rPr>
              <w:t>128</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169</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162</w:t>
            </w:r>
          </w:p>
        </w:tc>
        <w:tc>
          <w:tcPr>
            <w:tcW w:w="100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7"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等线" w:hAnsi="等线" w:eastAsia="等线" w:cs="等线"/>
                <w:b w:val="0"/>
                <w:bCs w:val="0"/>
                <w:sz w:val="24"/>
                <w:szCs w:val="24"/>
                <w:vertAlign w:val="baseline"/>
                <w:lang w:val="en-US" w:eastAsia="zh-CN"/>
              </w:rPr>
            </w:pPr>
          </w:p>
        </w:tc>
        <w:tc>
          <w:tcPr>
            <w:tcW w:w="2032" w:type="dxa"/>
            <w:vAlign w:val="top"/>
          </w:tcPr>
          <w:p>
            <w:pPr>
              <w:spacing w:line="480" w:lineRule="auto"/>
              <w:jc w:val="center"/>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医学类</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157</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val="0"/>
                <w:bCs w:val="0"/>
                <w:sz w:val="24"/>
                <w:szCs w:val="24"/>
                <w:vertAlign w:val="baseline"/>
                <w:lang w:val="en-US" w:eastAsia="zh-CN"/>
              </w:rPr>
            </w:pPr>
            <w:r>
              <w:rPr>
                <w:rFonts w:hint="default" w:ascii="等线" w:hAnsi="等线" w:eastAsia="等线" w:cs="等线"/>
                <w:b w:val="0"/>
                <w:bCs w:val="0"/>
                <w:sz w:val="24"/>
                <w:szCs w:val="24"/>
                <w:vertAlign w:val="baseline"/>
                <w:lang w:val="en-US" w:eastAsia="zh-CN"/>
              </w:rPr>
              <w:t>144</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b w:val="0"/>
                <w:bCs w:val="0"/>
                <w:sz w:val="24"/>
                <w:szCs w:val="24"/>
                <w:vertAlign w:val="baseline"/>
                <w:lang w:val="en-US" w:eastAsia="zh-CN"/>
              </w:rPr>
              <w:t>140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172</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180</w:t>
            </w:r>
          </w:p>
        </w:tc>
        <w:tc>
          <w:tcPr>
            <w:tcW w:w="100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7"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等线" w:hAnsi="等线" w:eastAsia="等线" w:cs="等线"/>
                <w:b w:val="0"/>
                <w:bCs w:val="0"/>
                <w:sz w:val="24"/>
                <w:szCs w:val="24"/>
                <w:vertAlign w:val="baseline"/>
                <w:lang w:val="en-US" w:eastAsia="zh-CN"/>
              </w:rPr>
            </w:pPr>
          </w:p>
        </w:tc>
        <w:tc>
          <w:tcPr>
            <w:tcW w:w="2032" w:type="dxa"/>
            <w:vAlign w:val="top"/>
          </w:tcPr>
          <w:p>
            <w:pPr>
              <w:spacing w:line="480" w:lineRule="auto"/>
              <w:jc w:val="center"/>
              <w:rPr>
                <w:rFonts w:hint="default" w:ascii="等线" w:hAnsi="等线" w:eastAsia="等线" w:cs="等线"/>
                <w:b w:val="0"/>
                <w:bCs w:val="0"/>
                <w:sz w:val="22"/>
                <w:szCs w:val="22"/>
                <w:vertAlign w:val="baseline"/>
                <w:lang w:val="en-US" w:eastAsia="zh-CN"/>
              </w:rPr>
            </w:pPr>
            <w:r>
              <w:rPr>
                <w:rFonts w:hint="eastAsia" w:ascii="等线" w:hAnsi="等线" w:eastAsia="等线" w:cs="等线"/>
                <w:b w:val="0"/>
                <w:bCs w:val="0"/>
                <w:sz w:val="22"/>
                <w:szCs w:val="22"/>
                <w:vertAlign w:val="baseline"/>
                <w:lang w:val="en-US" w:eastAsia="zh-CN"/>
              </w:rPr>
              <w:t>艺术类</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bCs/>
                <w:sz w:val="24"/>
                <w:szCs w:val="24"/>
                <w:vertAlign w:val="baseline"/>
                <w:lang w:val="en-US" w:eastAsia="zh-CN"/>
              </w:rPr>
            </w:pPr>
            <w:r>
              <w:rPr>
                <w:rFonts w:hint="eastAsia" w:ascii="等线" w:hAnsi="等线" w:eastAsia="等线" w:cs="等线"/>
                <w:b/>
                <w:bCs/>
                <w:sz w:val="24"/>
                <w:szCs w:val="24"/>
                <w:vertAlign w:val="baseline"/>
                <w:lang w:val="en-US" w:eastAsia="zh-CN"/>
              </w:rPr>
              <w:t>150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b w:val="0"/>
                <w:bCs w:val="0"/>
                <w:sz w:val="24"/>
                <w:szCs w:val="24"/>
                <w:vertAlign w:val="baseline"/>
                <w:lang w:val="en-US" w:eastAsia="zh-CN"/>
              </w:rPr>
            </w:pPr>
            <w:r>
              <w:rPr>
                <w:rFonts w:hint="default" w:ascii="等线" w:hAnsi="等线" w:eastAsia="等线" w:cs="等线"/>
                <w:b w:val="0"/>
                <w:bCs w:val="0"/>
                <w:sz w:val="24"/>
                <w:szCs w:val="24"/>
                <w:vertAlign w:val="baseline"/>
                <w:lang w:val="en-US" w:eastAsia="zh-CN"/>
              </w:rPr>
              <w:t>100</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b w:val="0"/>
                <w:bCs w:val="0"/>
                <w:sz w:val="24"/>
                <w:szCs w:val="24"/>
                <w:vertAlign w:val="baseline"/>
                <w:lang w:val="en-US" w:eastAsia="zh-CN"/>
              </w:rPr>
              <w:t>116</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191</w:t>
            </w:r>
          </w:p>
        </w:tc>
        <w:tc>
          <w:tcPr>
            <w:tcW w:w="10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151</w:t>
            </w:r>
          </w:p>
        </w:tc>
        <w:tc>
          <w:tcPr>
            <w:tcW w:w="100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等线" w:hAnsi="等线" w:eastAsia="等线" w:cs="等线"/>
                <w:sz w:val="24"/>
                <w:szCs w:val="24"/>
                <w:vertAlign w:val="baseline"/>
                <w:lang w:val="en-US" w:eastAsia="zh-CN"/>
              </w:rPr>
            </w:pPr>
            <w:r>
              <w:rPr>
                <w:rFonts w:hint="eastAsia" w:ascii="等线" w:hAnsi="等线" w:eastAsia="等线" w:cs="等线"/>
                <w:sz w:val="24"/>
                <w:szCs w:val="24"/>
                <w:vertAlign w:val="baseline"/>
                <w:lang w:val="en-US" w:eastAsia="zh-CN"/>
              </w:rPr>
              <w:t>148</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eastAsia="zh-CN"/>
        </w:rPr>
      </w:pPr>
      <w:r>
        <w:rPr>
          <w:rFonts w:hint="eastAsia" w:ascii="等线" w:hAnsi="等线" w:eastAsia="等线" w:cs="等线"/>
          <w:sz w:val="24"/>
          <w:szCs w:val="24"/>
          <w:lang w:eastAsia="zh-CN"/>
        </w:rPr>
        <w:t>成绩查询及录取成绩公布时间一般为当年11月下旬。我省成人高校招生实行计算机远程网上录取，录取工作于12月进行。录取最低录取控制线由</w:t>
      </w:r>
      <w:r>
        <w:rPr>
          <w:rFonts w:hint="eastAsia" w:ascii="等线" w:hAnsi="等线" w:eastAsia="等线" w:cs="等线"/>
          <w:sz w:val="24"/>
          <w:szCs w:val="24"/>
          <w:lang w:val="en-US" w:eastAsia="zh-CN"/>
        </w:rPr>
        <w:t>教育</w:t>
      </w:r>
      <w:r>
        <w:rPr>
          <w:rFonts w:hint="eastAsia" w:ascii="等线" w:hAnsi="等线" w:eastAsia="等线" w:cs="等线"/>
          <w:sz w:val="24"/>
          <w:szCs w:val="24"/>
          <w:lang w:eastAsia="zh-CN"/>
        </w:rPr>
        <w:t>部和省招办统一划定，</w:t>
      </w:r>
      <w:r>
        <w:rPr>
          <w:rFonts w:hint="eastAsia" w:ascii="等线" w:hAnsi="等线" w:eastAsia="等线" w:cs="等线"/>
          <w:sz w:val="24"/>
          <w:szCs w:val="24"/>
          <w:lang w:val="en-US" w:eastAsia="zh-CN"/>
        </w:rPr>
        <w:t>各院校</w:t>
      </w:r>
      <w:r>
        <w:rPr>
          <w:rFonts w:hint="eastAsia" w:ascii="等线" w:hAnsi="等线" w:eastAsia="等线" w:cs="等线"/>
          <w:sz w:val="24"/>
          <w:szCs w:val="24"/>
          <w:lang w:eastAsia="zh-CN"/>
        </w:rPr>
        <w:t>录取分数线在省招办划定的最低控制线的基础上，按照当年招生计划从高分到低分择优录取，录取结果可在“潇湘成招”APP进行查询。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eastAsia" w:ascii="等线" w:hAnsi="等线" w:eastAsia="等线" w:cs="等线"/>
          <w:sz w:val="24"/>
          <w:szCs w:val="24"/>
          <w:lang w:val="en-US" w:eastAsia="zh-CN"/>
        </w:rPr>
        <w:t>若考生分数超出公示的湖南省最低录取控制线，但未被成功录取，需及时关注“湖南省招生考试信息港”发布的征集志愿计划公告，并通过“潇湘成招”APP填报征集志愿。</w:t>
      </w:r>
    </w:p>
    <w:p/>
    <w:p>
      <w:pPr>
        <w:keepNext w:val="0"/>
        <w:keepLines w:val="0"/>
        <w:pageBreakBefore w:val="0"/>
        <w:widowControl w:val="0"/>
        <w:numPr>
          <w:ilvl w:val="0"/>
          <w:numId w:val="1"/>
        </w:numPr>
        <w:kinsoku/>
        <w:wordWrap/>
        <w:overflowPunct/>
        <w:topLinePunct w:val="0"/>
        <w:autoSpaceDE/>
        <w:autoSpaceDN/>
        <w:bidi w:val="0"/>
        <w:adjustRightInd/>
        <w:snapToGrid/>
        <w:spacing w:line="600" w:lineRule="auto"/>
        <w:textAlignment w:val="auto"/>
        <w:outlineLvl w:val="0"/>
        <w:rPr>
          <w:rFonts w:hint="eastAsia" w:ascii="等线" w:hAnsi="等线" w:eastAsia="等线" w:cs="等线"/>
          <w:b/>
          <w:bCs/>
          <w:sz w:val="28"/>
          <w:szCs w:val="28"/>
          <w:lang w:val="en-US" w:eastAsia="zh-CN"/>
        </w:rPr>
      </w:pPr>
      <w:r>
        <w:rPr>
          <w:rFonts w:hint="eastAsia" w:ascii="等线" w:hAnsi="等线" w:eastAsia="等线" w:cs="等线"/>
          <w:b/>
          <w:bCs/>
          <w:sz w:val="28"/>
          <w:szCs w:val="28"/>
          <w:lang w:val="en-US" w:eastAsia="zh-CN"/>
        </w:rPr>
        <w:t>报考院校、专业、费用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考生首次报名时，需缴纳报考费、入学考试书本费及课程培训费，收费标准如下：</w:t>
      </w:r>
    </w:p>
    <w:p>
      <w:pPr>
        <w:keepNext w:val="0"/>
        <w:keepLines w:val="0"/>
        <w:pageBreakBefore w:val="0"/>
        <w:widowControl w:val="0"/>
        <w:numPr>
          <w:ilvl w:val="0"/>
          <w:numId w:val="12"/>
        </w:numPr>
        <w:kinsoku/>
        <w:wordWrap/>
        <w:overflowPunct/>
        <w:topLinePunct w:val="0"/>
        <w:autoSpaceDE/>
        <w:autoSpaceDN/>
        <w:bidi w:val="0"/>
        <w:adjustRightInd/>
        <w:snapToGrid/>
        <w:spacing w:line="480" w:lineRule="auto"/>
        <w:ind w:firstLine="480" w:firstLineChars="200"/>
        <w:textAlignment w:val="auto"/>
        <w:outlineLvl w:val="9"/>
        <w:rPr>
          <w:rFonts w:hint="eastAsia" w:ascii="等线" w:hAnsi="等线" w:eastAsia="等线" w:cs="等线"/>
          <w:b/>
          <w:bCs/>
          <w:i w:val="0"/>
          <w:iCs w:val="0"/>
          <w:sz w:val="24"/>
          <w:szCs w:val="24"/>
          <w:lang w:val="en-US" w:eastAsia="zh-CN"/>
        </w:rPr>
      </w:pPr>
      <w:r>
        <w:rPr>
          <w:rFonts w:hint="eastAsia" w:ascii="等线" w:hAnsi="等线" w:eastAsia="等线" w:cs="等线"/>
          <w:b/>
          <w:bCs/>
          <w:i w:val="0"/>
          <w:iCs w:val="0"/>
          <w:sz w:val="24"/>
          <w:szCs w:val="24"/>
          <w:lang w:val="en-US" w:eastAsia="zh-CN"/>
        </w:rPr>
        <w:t>报考费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高升专、高升本报考费160元/人；专升本报考费170元/人。</w:t>
      </w:r>
    </w:p>
    <w:p>
      <w:pPr>
        <w:keepNext w:val="0"/>
        <w:keepLines w:val="0"/>
        <w:pageBreakBefore w:val="0"/>
        <w:widowControl w:val="0"/>
        <w:numPr>
          <w:ilvl w:val="0"/>
          <w:numId w:val="12"/>
        </w:numPr>
        <w:kinsoku/>
        <w:wordWrap/>
        <w:overflowPunct/>
        <w:topLinePunct w:val="0"/>
        <w:autoSpaceDE/>
        <w:autoSpaceDN/>
        <w:bidi w:val="0"/>
        <w:adjustRightInd/>
        <w:snapToGrid/>
        <w:spacing w:line="480" w:lineRule="auto"/>
        <w:ind w:firstLine="480" w:firstLineChars="200"/>
        <w:textAlignment w:val="auto"/>
        <w:outlineLvl w:val="9"/>
        <w:rPr>
          <w:rFonts w:hint="default" w:ascii="等线" w:hAnsi="等线" w:eastAsia="等线" w:cs="等线"/>
          <w:b/>
          <w:bCs/>
          <w:i w:val="0"/>
          <w:iCs w:val="0"/>
          <w:sz w:val="24"/>
          <w:szCs w:val="24"/>
          <w:lang w:val="en-US" w:eastAsia="zh-CN"/>
        </w:rPr>
      </w:pPr>
      <w:r>
        <w:rPr>
          <w:rFonts w:hint="default" w:ascii="等线" w:hAnsi="等线" w:eastAsia="等线" w:cs="等线"/>
          <w:b/>
          <w:bCs/>
          <w:i w:val="0"/>
          <w:iCs w:val="0"/>
          <w:sz w:val="24"/>
          <w:szCs w:val="24"/>
          <w:lang w:val="en-US" w:eastAsia="zh-CN"/>
        </w:rPr>
        <w:t>入学考试书本费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书籍资料费115元/人，包含入学考试科目书籍、首次资料邮寄费。</w:t>
      </w:r>
    </w:p>
    <w:p>
      <w:pPr>
        <w:keepNext w:val="0"/>
        <w:keepLines w:val="0"/>
        <w:pageBreakBefore w:val="0"/>
        <w:widowControl w:val="0"/>
        <w:numPr>
          <w:ilvl w:val="0"/>
          <w:numId w:val="12"/>
        </w:numPr>
        <w:kinsoku/>
        <w:wordWrap/>
        <w:overflowPunct/>
        <w:topLinePunct w:val="0"/>
        <w:autoSpaceDE/>
        <w:autoSpaceDN/>
        <w:bidi w:val="0"/>
        <w:adjustRightInd/>
        <w:snapToGrid/>
        <w:spacing w:line="480" w:lineRule="auto"/>
        <w:ind w:firstLine="480" w:firstLineChars="200"/>
        <w:textAlignment w:val="auto"/>
        <w:outlineLvl w:val="9"/>
        <w:rPr>
          <w:rFonts w:hint="default" w:ascii="等线" w:hAnsi="等线" w:eastAsia="等线" w:cs="等线"/>
          <w:b/>
          <w:bCs/>
          <w:i w:val="0"/>
          <w:iCs w:val="0"/>
          <w:sz w:val="24"/>
          <w:szCs w:val="24"/>
          <w:lang w:val="en-US" w:eastAsia="zh-CN"/>
        </w:rPr>
      </w:pPr>
      <w:r>
        <w:rPr>
          <w:rFonts w:hint="eastAsia" w:ascii="等线" w:hAnsi="等线" w:eastAsia="等线" w:cs="等线"/>
          <w:b/>
          <w:bCs/>
          <w:i w:val="0"/>
          <w:iCs w:val="0"/>
          <w:sz w:val="24"/>
          <w:szCs w:val="24"/>
          <w:lang w:val="en-US" w:eastAsia="zh-CN"/>
        </w:rPr>
        <w:t>课程培训费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课程培训费：800元/人（赠送各科目历年真题集），视频课件一经开通即产生费用，7天内可申请退课退费（需扣除平台费用150元），视频课件开通7天后，不予退费。</w:t>
      </w:r>
    </w:p>
    <w:p>
      <w:pPr>
        <w:keepNext w:val="0"/>
        <w:keepLines w:val="0"/>
        <w:pageBreakBefore w:val="0"/>
        <w:widowControl w:val="0"/>
        <w:numPr>
          <w:ilvl w:val="0"/>
          <w:numId w:val="0"/>
        </w:numPr>
        <w:kinsoku/>
        <w:wordWrap/>
        <w:overflowPunct/>
        <w:topLinePunct w:val="0"/>
        <w:autoSpaceDE/>
        <w:autoSpaceDN/>
        <w:bidi w:val="0"/>
        <w:adjustRightInd/>
        <w:snapToGrid/>
        <w:spacing w:line="720" w:lineRule="auto"/>
        <w:jc w:val="both"/>
        <w:textAlignment w:val="auto"/>
        <w:outlineLvl w:val="9"/>
        <w:rPr>
          <w:rFonts w:hint="eastAsia" w:ascii="等线" w:hAnsi="等线" w:eastAsia="等线" w:cs="等线"/>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720" w:lineRule="auto"/>
        <w:jc w:val="center"/>
        <w:textAlignment w:val="auto"/>
        <w:outlineLvl w:val="9"/>
        <w:rPr>
          <w:rFonts w:hint="eastAsia" w:ascii="等线" w:hAnsi="等线" w:eastAsia="等线" w:cs="等线"/>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720" w:lineRule="auto"/>
        <w:jc w:val="center"/>
        <w:textAlignment w:val="auto"/>
        <w:outlineLvl w:val="9"/>
        <w:rPr>
          <w:rFonts w:hint="eastAsia" w:ascii="等线" w:hAnsi="等线" w:eastAsia="等线" w:cs="等线"/>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720" w:lineRule="auto"/>
        <w:jc w:val="center"/>
        <w:textAlignment w:val="auto"/>
        <w:outlineLvl w:val="9"/>
        <w:rPr>
          <w:rFonts w:hint="eastAsia" w:ascii="等线" w:hAnsi="等线" w:eastAsia="等线" w:cs="等线"/>
          <w:sz w:val="24"/>
          <w:szCs w:val="24"/>
          <w:lang w:val="en-US" w:eastAsia="zh-CN"/>
        </w:rPr>
      </w:pPr>
    </w:p>
    <w:p>
      <w:pPr>
        <w:spacing w:line="240" w:lineRule="auto"/>
        <w:jc w:val="center"/>
        <w:rPr>
          <w:sz w:val="24"/>
          <w:szCs w:val="24"/>
        </w:rPr>
      </w:pPr>
      <w:r>
        <w:rPr>
          <w:rFonts w:hint="eastAsia" w:eastAsia="宋体"/>
          <w:lang w:eastAsia="zh-CN"/>
        </w:rPr>
        <w:drawing>
          <wp:inline distT="0" distB="0" distL="114300" distR="114300">
            <wp:extent cx="3773170" cy="1039495"/>
            <wp:effectExtent l="0" t="0" r="17780" b="8255"/>
            <wp:docPr id="6" name="图片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logo"/>
                    <pic:cNvPicPr>
                      <a:picLocks noChangeAspect="1"/>
                    </pic:cNvPicPr>
                  </pic:nvPicPr>
                  <pic:blipFill>
                    <a:blip r:embed="rId6"/>
                    <a:srcRect t="9460" b="2107"/>
                    <a:stretch>
                      <a:fillRect/>
                    </a:stretch>
                  </pic:blipFill>
                  <pic:spPr>
                    <a:xfrm>
                      <a:off x="0" y="0"/>
                      <a:ext cx="3773170" cy="1039495"/>
                    </a:xfrm>
                    <a:prstGeom prst="rect">
                      <a:avLst/>
                    </a:prstGeom>
                    <a:noFill/>
                    <a:ln>
                      <a:noFill/>
                    </a:ln>
                  </pic:spPr>
                </pic:pic>
              </a:graphicData>
            </a:graphic>
          </wp:inline>
        </w:drawing>
      </w:r>
    </w:p>
    <w:p>
      <w:pPr>
        <w:keepNext w:val="0"/>
        <w:keepLines w:val="0"/>
        <w:pageBreakBefore w:val="0"/>
        <w:widowControl w:val="0"/>
        <w:numPr>
          <w:ilvl w:val="0"/>
          <w:numId w:val="0"/>
        </w:numPr>
        <w:tabs>
          <w:tab w:val="left" w:pos="1462"/>
        </w:tabs>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vertAlign w:val="baseline"/>
          <w:lang w:val="en-US" w:eastAsia="zh-CN"/>
        </w:rPr>
      </w:pPr>
      <w:r>
        <w:rPr>
          <w:rFonts w:hint="eastAsia" w:ascii="等线" w:hAnsi="等线" w:eastAsia="等线" w:cs="等线"/>
          <w:b/>
          <w:bCs/>
          <w:sz w:val="24"/>
          <w:szCs w:val="24"/>
          <w:vertAlign w:val="baseline"/>
          <w:lang w:val="en-US" w:eastAsia="zh-CN"/>
        </w:rPr>
        <w:t>湖南师范大学</w:t>
      </w:r>
      <w:r>
        <w:rPr>
          <w:rFonts w:hint="eastAsia" w:ascii="等线" w:hAnsi="等线" w:eastAsia="等线" w:cs="等线"/>
          <w:sz w:val="24"/>
          <w:szCs w:val="24"/>
          <w:vertAlign w:val="baseline"/>
          <w:lang w:val="en-US" w:eastAsia="zh-CN"/>
        </w:rPr>
        <w:t>是入选首批国家“211工程”重点建设大学、国家“双一流”建设高校、教育部与湖南省重点共建的部省共建“双一流”建设高校，入选国家“111计划”、卓越法律人才教育培养计划、卓越医生教育培养计划、卓越教师培养计划、国家建设高水平大学公派研究生项目、国家级大学生创新创业训练计划、全国深化创新创业教育改革示范高校、中国政府奖学金来华留学生接收院校、教育部来华留学示范基地、国家大学生文化素质教育基地。是国际艺术、设计与媒体学院联盟（Cumulus）、“一带一路”智库合作联盟等国际组织重要成员。</w:t>
      </w:r>
    </w:p>
    <w:tbl>
      <w:tblPr>
        <w:tblStyle w:val="7"/>
        <w:tblpPr w:leftFromText="180" w:rightFromText="180" w:vertAnchor="text" w:horzAnchor="page" w:tblpX="1422" w:tblpY="319"/>
        <w:tblOverlap w:val="never"/>
        <w:tblW w:w="54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1170"/>
        <w:gridCol w:w="4622"/>
        <w:gridCol w:w="1489"/>
        <w:gridCol w:w="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56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r>
              <w:rPr>
                <w:rFonts w:hint="eastAsia" w:ascii="等线" w:hAnsi="等线" w:eastAsia="等线" w:cs="等线"/>
                <w:b/>
                <w:bCs/>
                <w:color w:val="auto"/>
                <w:sz w:val="24"/>
                <w:szCs w:val="24"/>
                <w:vertAlign w:val="baseline"/>
                <w:lang w:val="en-US" w:eastAsia="zh-CN"/>
              </w:rPr>
              <w:t>层次</w:t>
            </w:r>
          </w:p>
        </w:tc>
        <w:tc>
          <w:tcPr>
            <w:tcW w:w="633"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kern w:val="2"/>
                <w:sz w:val="24"/>
                <w:szCs w:val="24"/>
                <w:vertAlign w:val="baseline"/>
                <w:lang w:val="en-US" w:eastAsia="zh-CN" w:bidi="ar-SA"/>
              </w:rPr>
            </w:pPr>
            <w:r>
              <w:rPr>
                <w:rFonts w:hint="eastAsia" w:ascii="等线" w:hAnsi="等线" w:eastAsia="等线" w:cs="等线"/>
                <w:b/>
                <w:bCs/>
                <w:color w:val="auto"/>
                <w:sz w:val="24"/>
                <w:szCs w:val="24"/>
                <w:vertAlign w:val="baseline"/>
                <w:lang w:val="en-US" w:eastAsia="zh-CN"/>
              </w:rPr>
              <w:t>类别</w:t>
            </w:r>
          </w:p>
        </w:tc>
        <w:tc>
          <w:tcPr>
            <w:tcW w:w="250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default" w:ascii="等线" w:hAnsi="等线" w:eastAsia="等线" w:cs="等线"/>
                <w:b/>
                <w:bCs/>
                <w:color w:val="auto"/>
                <w:sz w:val="24"/>
                <w:szCs w:val="24"/>
                <w:vertAlign w:val="baseline"/>
                <w:lang w:val="en-US" w:eastAsia="zh-CN"/>
              </w:rPr>
            </w:pPr>
            <w:r>
              <w:rPr>
                <w:rFonts w:hint="eastAsia" w:ascii="等线" w:hAnsi="等线" w:eastAsia="等线" w:cs="等线"/>
                <w:b/>
                <w:bCs/>
                <w:color w:val="auto"/>
                <w:sz w:val="24"/>
                <w:szCs w:val="24"/>
                <w:vertAlign w:val="baseline"/>
                <w:lang w:val="en-US" w:eastAsia="zh-CN"/>
              </w:rPr>
              <w:t>专业</w:t>
            </w:r>
            <w:r>
              <w:rPr>
                <w:rFonts w:hint="eastAsia" w:ascii="等线" w:hAnsi="等线" w:eastAsia="等线" w:cs="等线"/>
                <w:b w:val="0"/>
                <w:bCs w:val="0"/>
                <w:color w:val="auto"/>
                <w:sz w:val="21"/>
                <w:szCs w:val="21"/>
                <w:vertAlign w:val="baseline"/>
                <w:lang w:val="en-US" w:eastAsia="zh-CN"/>
              </w:rPr>
              <w:t>（函授）</w:t>
            </w:r>
          </w:p>
        </w:tc>
        <w:tc>
          <w:tcPr>
            <w:tcW w:w="805"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kern w:val="2"/>
                <w:sz w:val="24"/>
                <w:szCs w:val="24"/>
                <w:vertAlign w:val="baseline"/>
                <w:lang w:val="en-US" w:eastAsia="zh-CN" w:bidi="ar-SA"/>
              </w:rPr>
            </w:pPr>
            <w:r>
              <w:rPr>
                <w:rFonts w:hint="eastAsia" w:ascii="等线" w:hAnsi="等线" w:eastAsia="等线" w:cs="等线"/>
                <w:b/>
                <w:bCs/>
                <w:color w:val="auto"/>
                <w:sz w:val="24"/>
                <w:szCs w:val="24"/>
                <w:vertAlign w:val="baseline"/>
                <w:lang w:val="en-US" w:eastAsia="zh-CN"/>
              </w:rPr>
              <w:t>学费标准</w:t>
            </w:r>
          </w:p>
        </w:tc>
        <w:tc>
          <w:tcPr>
            <w:tcW w:w="49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r>
              <w:rPr>
                <w:rFonts w:hint="eastAsia" w:ascii="等线" w:hAnsi="等线" w:eastAsia="等线" w:cs="等线"/>
                <w:b/>
                <w:bCs/>
                <w:color w:val="auto"/>
                <w:sz w:val="24"/>
                <w:szCs w:val="24"/>
                <w:vertAlign w:val="baseline"/>
                <w:lang w:val="en-US" w:eastAsia="zh-CN"/>
              </w:rPr>
              <w:t>学制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561" w:type="pct"/>
            <w:vMerge w:val="restar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kern w:val="2"/>
                <w:sz w:val="24"/>
                <w:szCs w:val="24"/>
                <w:vertAlign w:val="baseline"/>
                <w:lang w:val="en-US" w:eastAsia="zh-CN" w:bidi="ar-SA"/>
              </w:rPr>
            </w:pPr>
            <w:r>
              <w:rPr>
                <w:rFonts w:hint="eastAsia" w:ascii="等线" w:hAnsi="等线" w:eastAsia="等线" w:cs="等线"/>
                <w:b/>
                <w:bCs/>
                <w:color w:val="auto"/>
                <w:sz w:val="24"/>
                <w:szCs w:val="24"/>
                <w:vertAlign w:val="baseline"/>
                <w:lang w:val="en-US" w:eastAsia="zh-CN"/>
              </w:rPr>
              <w:t>高起本</w:t>
            </w:r>
          </w:p>
        </w:tc>
        <w:tc>
          <w:tcPr>
            <w:tcW w:w="633"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文科</w:t>
            </w:r>
          </w:p>
        </w:tc>
        <w:tc>
          <w:tcPr>
            <w:tcW w:w="250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360" w:lineRule="auto"/>
              <w:jc w:val="center"/>
              <w:rPr>
                <w:rFonts w:hint="eastAsia" w:ascii="等线" w:hAnsi="等线" w:eastAsia="等线" w:cs="等线"/>
                <w:b w:val="0"/>
                <w:bCs w:val="0"/>
                <w:color w:val="auto"/>
                <w:sz w:val="22"/>
                <w:szCs w:val="22"/>
                <w:highlight w:val="none"/>
                <w:vertAlign w:val="baseline"/>
                <w:lang w:val="en-US" w:eastAsia="zh-CN"/>
              </w:rPr>
            </w:pPr>
            <w:r>
              <w:rPr>
                <w:rFonts w:hint="eastAsia" w:ascii="等线" w:hAnsi="等线" w:eastAsia="等线" w:cs="等线"/>
                <w:b w:val="0"/>
                <w:bCs w:val="0"/>
                <w:color w:val="auto"/>
                <w:sz w:val="22"/>
                <w:szCs w:val="22"/>
                <w:highlight w:val="none"/>
                <w:vertAlign w:val="baseline"/>
                <w:lang w:val="en-US" w:eastAsia="zh-CN"/>
              </w:rPr>
              <w:t>工商管理、会计学</w:t>
            </w:r>
          </w:p>
          <w:p>
            <w:pPr>
              <w:spacing w:line="360" w:lineRule="auto"/>
              <w:jc w:val="center"/>
              <w:rPr>
                <w:rFonts w:hint="default" w:ascii="等线" w:hAnsi="等线" w:eastAsia="等线" w:cs="等线"/>
                <w:b w:val="0"/>
                <w:bCs w:val="0"/>
                <w:color w:val="auto"/>
                <w:kern w:val="2"/>
                <w:sz w:val="22"/>
                <w:szCs w:val="22"/>
                <w:highlight w:val="none"/>
                <w:vertAlign w:val="baseline"/>
                <w:lang w:val="en-US" w:eastAsia="zh-CN" w:bidi="ar-SA"/>
              </w:rPr>
            </w:pPr>
            <w:r>
              <w:rPr>
                <w:rFonts w:hint="eastAsia" w:ascii="等线" w:hAnsi="等线" w:eastAsia="等线" w:cs="等线"/>
                <w:b w:val="0"/>
                <w:bCs w:val="0"/>
                <w:color w:val="auto"/>
                <w:sz w:val="22"/>
                <w:szCs w:val="22"/>
                <w:highlight w:val="none"/>
                <w:vertAlign w:val="baseline"/>
                <w:lang w:val="en-US" w:eastAsia="zh-CN"/>
              </w:rPr>
              <w:t>学前教育、汉语言文学、教育学</w:t>
            </w:r>
          </w:p>
        </w:tc>
        <w:tc>
          <w:tcPr>
            <w:tcW w:w="805" w:type="pc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2520元/年</w:t>
            </w:r>
          </w:p>
        </w:tc>
        <w:tc>
          <w:tcPr>
            <w:tcW w:w="497" w:type="pct"/>
            <w:vMerge w:val="restar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561" w:type="pct"/>
            <w:vMerge w:val="continue"/>
            <w:tcBorders>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p>
        </w:tc>
        <w:tc>
          <w:tcPr>
            <w:tcW w:w="633"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理科</w:t>
            </w:r>
          </w:p>
        </w:tc>
        <w:tc>
          <w:tcPr>
            <w:tcW w:w="250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2"/>
                <w:szCs w:val="22"/>
                <w:highlight w:val="none"/>
                <w:vertAlign w:val="baseline"/>
                <w:lang w:val="en-US" w:eastAsia="zh-CN"/>
              </w:rPr>
            </w:pPr>
            <w:r>
              <w:rPr>
                <w:rFonts w:hint="eastAsia" w:ascii="等线" w:hAnsi="等线" w:eastAsia="等线" w:cs="等线"/>
                <w:b w:val="0"/>
                <w:bCs w:val="0"/>
                <w:color w:val="auto"/>
                <w:sz w:val="22"/>
                <w:szCs w:val="22"/>
                <w:highlight w:val="none"/>
                <w:vertAlign w:val="baseline"/>
                <w:lang w:val="en-US" w:eastAsia="zh-CN"/>
              </w:rPr>
              <w:t>计算机科学与技术</w:t>
            </w:r>
          </w:p>
        </w:tc>
        <w:tc>
          <w:tcPr>
            <w:tcW w:w="805" w:type="pct"/>
            <w:tcBorders>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2640元/年</w:t>
            </w:r>
          </w:p>
        </w:tc>
        <w:tc>
          <w:tcPr>
            <w:tcW w:w="497" w:type="pct"/>
            <w:vMerge w:val="continue"/>
            <w:tcBorders>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61" w:type="pct"/>
            <w:vMerge w:val="restar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240" w:lineRule="auto"/>
              <w:jc w:val="center"/>
              <w:rPr>
                <w:rFonts w:hint="default" w:ascii="等线" w:hAnsi="等线" w:eastAsia="等线" w:cs="等线"/>
                <w:b/>
                <w:bCs/>
                <w:color w:val="auto"/>
                <w:sz w:val="24"/>
                <w:szCs w:val="24"/>
                <w:vertAlign w:val="baseline"/>
                <w:lang w:val="en-US" w:eastAsia="zh-CN"/>
              </w:rPr>
            </w:pPr>
            <w:r>
              <w:rPr>
                <w:rFonts w:hint="eastAsia" w:ascii="等线" w:hAnsi="等线" w:eastAsia="等线" w:cs="等线"/>
                <w:b/>
                <w:bCs/>
                <w:color w:val="auto"/>
                <w:sz w:val="24"/>
                <w:szCs w:val="24"/>
                <w:vertAlign w:val="baseline"/>
                <w:lang w:val="en-US" w:eastAsia="zh-CN"/>
              </w:rPr>
              <w:t>专升本</w:t>
            </w:r>
          </w:p>
        </w:tc>
        <w:tc>
          <w:tcPr>
            <w:tcW w:w="633"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理工类</w:t>
            </w:r>
          </w:p>
        </w:tc>
        <w:tc>
          <w:tcPr>
            <w:tcW w:w="250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360" w:lineRule="auto"/>
              <w:jc w:val="center"/>
              <w:rPr>
                <w:rFonts w:hint="default" w:ascii="等线" w:hAnsi="等线" w:eastAsia="等线" w:cs="等线"/>
                <w:b w:val="0"/>
                <w:bCs w:val="0"/>
                <w:color w:val="auto"/>
                <w:sz w:val="22"/>
                <w:szCs w:val="22"/>
                <w:highlight w:val="none"/>
                <w:vertAlign w:val="baseline"/>
                <w:lang w:val="en-US" w:eastAsia="zh-CN"/>
              </w:rPr>
            </w:pPr>
            <w:r>
              <w:rPr>
                <w:rFonts w:hint="eastAsia" w:ascii="等线" w:hAnsi="等线" w:eastAsia="等线" w:cs="等线"/>
                <w:b w:val="0"/>
                <w:bCs w:val="0"/>
                <w:color w:val="auto"/>
                <w:sz w:val="22"/>
                <w:szCs w:val="22"/>
                <w:highlight w:val="none"/>
                <w:vertAlign w:val="baseline"/>
                <w:lang w:val="en-US" w:eastAsia="zh-CN"/>
              </w:rPr>
              <w:t>机械设计制造及其自动化、通信工程</w:t>
            </w:r>
          </w:p>
          <w:p>
            <w:pPr>
              <w:spacing w:line="360" w:lineRule="auto"/>
              <w:jc w:val="center"/>
              <w:rPr>
                <w:rFonts w:hint="default" w:ascii="等线" w:hAnsi="等线" w:eastAsia="等线" w:cs="等线"/>
                <w:b w:val="0"/>
                <w:bCs w:val="0"/>
                <w:color w:val="auto"/>
                <w:sz w:val="22"/>
                <w:szCs w:val="22"/>
                <w:highlight w:val="none"/>
                <w:vertAlign w:val="baseline"/>
                <w:lang w:val="en-US" w:eastAsia="zh-CN"/>
              </w:rPr>
            </w:pPr>
            <w:r>
              <w:rPr>
                <w:rFonts w:hint="eastAsia" w:ascii="等线" w:hAnsi="等线" w:eastAsia="等线" w:cs="等线"/>
                <w:b w:val="0"/>
                <w:bCs w:val="0"/>
                <w:color w:val="auto"/>
                <w:sz w:val="22"/>
                <w:szCs w:val="22"/>
                <w:highlight w:val="none"/>
                <w:vertAlign w:val="baseline"/>
                <w:lang w:val="en-US" w:eastAsia="zh-CN"/>
              </w:rPr>
              <w:t>计算机科学与技术、数学与应用数学</w:t>
            </w:r>
          </w:p>
        </w:tc>
        <w:tc>
          <w:tcPr>
            <w:tcW w:w="805" w:type="pc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2640元/年</w:t>
            </w:r>
          </w:p>
        </w:tc>
        <w:tc>
          <w:tcPr>
            <w:tcW w:w="497" w:type="pct"/>
            <w:vMerge w:val="restar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61" w:type="pct"/>
            <w:vMerge w:val="continue"/>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p>
        </w:tc>
        <w:tc>
          <w:tcPr>
            <w:tcW w:w="633"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法学类</w:t>
            </w:r>
          </w:p>
        </w:tc>
        <w:tc>
          <w:tcPr>
            <w:tcW w:w="250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default" w:ascii="等线" w:hAnsi="等线" w:eastAsia="等线" w:cs="等线"/>
                <w:b w:val="0"/>
                <w:bCs w:val="0"/>
                <w:color w:val="auto"/>
                <w:sz w:val="22"/>
                <w:szCs w:val="22"/>
                <w:highlight w:val="none"/>
                <w:vertAlign w:val="baseline"/>
                <w:lang w:val="en-US" w:eastAsia="zh-CN"/>
              </w:rPr>
            </w:pPr>
            <w:r>
              <w:rPr>
                <w:rFonts w:hint="eastAsia" w:ascii="等线" w:hAnsi="等线" w:eastAsia="等线" w:cs="等线"/>
                <w:b w:val="0"/>
                <w:bCs w:val="0"/>
                <w:color w:val="auto"/>
                <w:sz w:val="22"/>
                <w:szCs w:val="22"/>
                <w:highlight w:val="none"/>
                <w:vertAlign w:val="baseline"/>
                <w:lang w:val="en-US" w:eastAsia="zh-CN"/>
              </w:rPr>
              <w:t>法学、思想政治教育</w:t>
            </w:r>
          </w:p>
        </w:tc>
        <w:tc>
          <w:tcPr>
            <w:tcW w:w="805" w:type="pct"/>
            <w:tcBorders>
              <w:left w:val="single" w:color="000000" w:themeColor="text1" w:sz="8" w:space="0"/>
              <w:right w:val="single" w:color="000000" w:themeColor="text1" w:sz="8" w:space="0"/>
            </w:tcBorders>
            <w:shd w:val="clear" w:color="auto" w:fill="auto"/>
            <w:vAlign w:val="center"/>
          </w:tcPr>
          <w:p>
            <w:pPr>
              <w:spacing w:line="240" w:lineRule="auto"/>
              <w:jc w:val="center"/>
              <w:rPr>
                <w:rFonts w:hint="default"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2520元/年</w:t>
            </w:r>
          </w:p>
        </w:tc>
        <w:tc>
          <w:tcPr>
            <w:tcW w:w="497" w:type="pct"/>
            <w:vMerge w:val="continue"/>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561" w:type="pct"/>
            <w:vMerge w:val="continue"/>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p>
        </w:tc>
        <w:tc>
          <w:tcPr>
            <w:tcW w:w="633"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经管类</w:t>
            </w:r>
          </w:p>
        </w:tc>
        <w:tc>
          <w:tcPr>
            <w:tcW w:w="250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360" w:lineRule="auto"/>
              <w:jc w:val="center"/>
              <w:rPr>
                <w:rFonts w:hint="default" w:ascii="等线" w:hAnsi="等线" w:eastAsia="等线" w:cs="等线"/>
                <w:b w:val="0"/>
                <w:bCs w:val="0"/>
                <w:color w:val="auto"/>
                <w:sz w:val="22"/>
                <w:szCs w:val="22"/>
                <w:highlight w:val="none"/>
                <w:vertAlign w:val="baseline"/>
                <w:lang w:val="en-US" w:eastAsia="zh-CN"/>
              </w:rPr>
            </w:pPr>
            <w:r>
              <w:rPr>
                <w:rFonts w:hint="eastAsia" w:ascii="等线" w:hAnsi="等线" w:eastAsia="等线" w:cs="等线"/>
                <w:b w:val="0"/>
                <w:bCs w:val="0"/>
                <w:color w:val="auto"/>
                <w:sz w:val="22"/>
                <w:szCs w:val="22"/>
                <w:highlight w:val="none"/>
                <w:vertAlign w:val="baseline"/>
                <w:lang w:val="en-US" w:eastAsia="zh-CN"/>
              </w:rPr>
              <w:t>工商管理、金融学、会计学</w:t>
            </w:r>
            <w:r>
              <w:rPr>
                <w:rFonts w:hint="eastAsia" w:ascii="等线" w:hAnsi="等线" w:eastAsia="等线" w:cs="等线"/>
                <w:b w:val="0"/>
                <w:bCs w:val="0"/>
                <w:color w:val="auto"/>
                <w:sz w:val="22"/>
                <w:szCs w:val="22"/>
                <w:highlight w:val="none"/>
                <w:vertAlign w:val="baseline"/>
                <w:lang w:val="en-US" w:eastAsia="zh-CN"/>
              </w:rPr>
              <w:br w:type="textWrapping"/>
            </w:r>
            <w:r>
              <w:rPr>
                <w:rFonts w:hint="eastAsia" w:ascii="等线" w:hAnsi="等线" w:eastAsia="等线" w:cs="等线"/>
                <w:b w:val="0"/>
                <w:bCs w:val="0"/>
                <w:color w:val="auto"/>
                <w:sz w:val="22"/>
                <w:szCs w:val="22"/>
                <w:highlight w:val="none"/>
                <w:vertAlign w:val="baseline"/>
                <w:lang w:val="en-US" w:eastAsia="zh-CN"/>
              </w:rPr>
              <w:t>行政管理、国际经济与贸易</w:t>
            </w:r>
            <w:r>
              <w:rPr>
                <w:rFonts w:hint="eastAsia" w:ascii="等线" w:hAnsi="等线" w:eastAsia="等线" w:cs="等线"/>
                <w:b w:val="0"/>
                <w:bCs w:val="0"/>
                <w:color w:val="auto"/>
                <w:sz w:val="22"/>
                <w:szCs w:val="22"/>
                <w:highlight w:val="none"/>
                <w:vertAlign w:val="baseline"/>
                <w:lang w:val="en-US" w:eastAsia="zh-CN"/>
              </w:rPr>
              <w:br w:type="textWrapping"/>
            </w:r>
            <w:r>
              <w:rPr>
                <w:rFonts w:hint="eastAsia" w:ascii="等线" w:hAnsi="等线" w:eastAsia="等线" w:cs="等线"/>
                <w:b w:val="0"/>
                <w:bCs w:val="0"/>
                <w:color w:val="auto"/>
                <w:sz w:val="22"/>
                <w:szCs w:val="22"/>
                <w:highlight w:val="none"/>
                <w:vertAlign w:val="baseline"/>
                <w:lang w:val="en-US" w:eastAsia="zh-CN"/>
              </w:rPr>
              <w:t>心理学（理工类收费）、药学</w:t>
            </w:r>
          </w:p>
        </w:tc>
        <w:tc>
          <w:tcPr>
            <w:tcW w:w="805" w:type="pct"/>
            <w:tcBorders>
              <w:left w:val="single" w:color="000000" w:themeColor="text1" w:sz="8" w:space="0"/>
              <w:right w:val="single" w:color="000000" w:themeColor="text1" w:sz="8" w:space="0"/>
            </w:tcBorders>
            <w:shd w:val="clear" w:color="auto" w:fill="auto"/>
            <w:vAlign w:val="center"/>
          </w:tcPr>
          <w:p>
            <w:pPr>
              <w:spacing w:line="240" w:lineRule="auto"/>
              <w:jc w:val="center"/>
              <w:rPr>
                <w:rFonts w:hint="default"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2520元/年</w:t>
            </w:r>
          </w:p>
        </w:tc>
        <w:tc>
          <w:tcPr>
            <w:tcW w:w="497" w:type="pct"/>
            <w:vMerge w:val="continue"/>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561" w:type="pct"/>
            <w:vMerge w:val="continue"/>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p>
        </w:tc>
        <w:tc>
          <w:tcPr>
            <w:tcW w:w="633"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教育类</w:t>
            </w:r>
          </w:p>
        </w:tc>
        <w:tc>
          <w:tcPr>
            <w:tcW w:w="250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default" w:ascii="等线" w:hAnsi="等线" w:eastAsia="等线" w:cs="等线"/>
                <w:b w:val="0"/>
                <w:bCs w:val="0"/>
                <w:color w:val="auto"/>
                <w:sz w:val="22"/>
                <w:szCs w:val="22"/>
                <w:highlight w:val="none"/>
                <w:vertAlign w:val="baseline"/>
                <w:lang w:val="en-US" w:eastAsia="zh-CN"/>
              </w:rPr>
            </w:pPr>
            <w:r>
              <w:rPr>
                <w:rFonts w:hint="eastAsia" w:ascii="等线" w:hAnsi="等线" w:eastAsia="等线" w:cs="等线"/>
                <w:b w:val="0"/>
                <w:bCs w:val="0"/>
                <w:color w:val="auto"/>
                <w:sz w:val="22"/>
                <w:szCs w:val="22"/>
                <w:highlight w:val="none"/>
                <w:vertAlign w:val="baseline"/>
                <w:lang w:val="en-US" w:eastAsia="zh-CN"/>
              </w:rPr>
              <w:t>教育学、学前教育、体育教育</w:t>
            </w:r>
          </w:p>
        </w:tc>
        <w:tc>
          <w:tcPr>
            <w:tcW w:w="805" w:type="pct"/>
            <w:tcBorders>
              <w:left w:val="single" w:color="000000" w:themeColor="text1" w:sz="8" w:space="0"/>
              <w:right w:val="single" w:color="000000" w:themeColor="text1" w:sz="8" w:space="0"/>
            </w:tcBorders>
            <w:shd w:val="clear" w:color="auto" w:fill="auto"/>
            <w:vAlign w:val="center"/>
          </w:tcPr>
          <w:p>
            <w:pPr>
              <w:spacing w:line="240" w:lineRule="auto"/>
              <w:jc w:val="center"/>
              <w:rPr>
                <w:rFonts w:hint="default"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2520元/年</w:t>
            </w:r>
          </w:p>
        </w:tc>
        <w:tc>
          <w:tcPr>
            <w:tcW w:w="497" w:type="pct"/>
            <w:vMerge w:val="continue"/>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561" w:type="pct"/>
            <w:vMerge w:val="continue"/>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p>
        </w:tc>
        <w:tc>
          <w:tcPr>
            <w:tcW w:w="633"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default"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医学类</w:t>
            </w:r>
          </w:p>
        </w:tc>
        <w:tc>
          <w:tcPr>
            <w:tcW w:w="250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ind w:firstLine="880" w:firstLineChars="400"/>
              <w:jc w:val="both"/>
              <w:rPr>
                <w:rFonts w:hint="eastAsia" w:ascii="等线" w:hAnsi="等线" w:eastAsia="等线" w:cs="等线"/>
                <w:b w:val="0"/>
                <w:bCs w:val="0"/>
                <w:color w:val="auto"/>
                <w:sz w:val="22"/>
                <w:szCs w:val="22"/>
                <w:highlight w:val="none"/>
                <w:vertAlign w:val="baseline"/>
                <w:lang w:val="en-US" w:eastAsia="zh-CN"/>
              </w:rPr>
            </w:pPr>
            <w:r>
              <w:rPr>
                <w:rFonts w:hint="eastAsia" w:ascii="等线" w:hAnsi="等线" w:eastAsia="等线" w:cs="等线"/>
                <w:b w:val="0"/>
                <w:bCs w:val="0"/>
                <w:color w:val="auto"/>
                <w:sz w:val="22"/>
                <w:szCs w:val="22"/>
                <w:highlight w:val="none"/>
                <w:vertAlign w:val="baseline"/>
                <w:lang w:val="en-US" w:eastAsia="zh-CN"/>
              </w:rPr>
              <w:t>临床医学、医学检验技术</w:t>
            </w:r>
          </w:p>
          <w:p>
            <w:pPr>
              <w:spacing w:line="240" w:lineRule="auto"/>
              <w:ind w:firstLine="1540" w:firstLineChars="700"/>
              <w:jc w:val="both"/>
              <w:rPr>
                <w:rFonts w:hint="default" w:ascii="等线" w:hAnsi="等线" w:eastAsia="等线" w:cs="等线"/>
                <w:b w:val="0"/>
                <w:bCs w:val="0"/>
                <w:color w:val="auto"/>
                <w:sz w:val="22"/>
                <w:szCs w:val="22"/>
                <w:highlight w:val="none"/>
                <w:vertAlign w:val="baseline"/>
                <w:lang w:val="en-US" w:eastAsia="zh-CN"/>
              </w:rPr>
            </w:pPr>
            <w:r>
              <w:rPr>
                <w:rFonts w:hint="eastAsia" w:ascii="等线" w:hAnsi="等线" w:eastAsia="等线" w:cs="等线"/>
                <w:b w:val="0"/>
                <w:bCs w:val="0"/>
                <w:color w:val="auto"/>
                <w:sz w:val="22"/>
                <w:szCs w:val="22"/>
                <w:highlight w:val="none"/>
                <w:vertAlign w:val="baseline"/>
                <w:lang w:val="en-US" w:eastAsia="zh-CN"/>
              </w:rPr>
              <w:t>护理学</w:t>
            </w:r>
          </w:p>
        </w:tc>
        <w:tc>
          <w:tcPr>
            <w:tcW w:w="805" w:type="pct"/>
            <w:tcBorders>
              <w:left w:val="single" w:color="000000" w:themeColor="text1" w:sz="8" w:space="0"/>
              <w:right w:val="single" w:color="000000" w:themeColor="text1" w:sz="8" w:space="0"/>
            </w:tcBorders>
            <w:shd w:val="clear" w:color="auto" w:fill="auto"/>
            <w:vAlign w:val="center"/>
          </w:tcPr>
          <w:p>
            <w:pPr>
              <w:spacing w:line="240" w:lineRule="auto"/>
              <w:jc w:val="center"/>
              <w:rPr>
                <w:rFonts w:hint="default"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3200元/年</w:t>
            </w:r>
          </w:p>
        </w:tc>
        <w:tc>
          <w:tcPr>
            <w:tcW w:w="497" w:type="pct"/>
            <w:vMerge w:val="continue"/>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4"/>
                <w:szCs w:val="24"/>
                <w:vertAlign w:val="baseline"/>
                <w:lang w:val="en-US" w:eastAsia="zh-CN"/>
              </w:rPr>
            </w:pPr>
          </w:p>
        </w:tc>
      </w:tr>
    </w:tbl>
    <w:p>
      <w:pPr>
        <w:keepNext w:val="0"/>
        <w:keepLines w:val="0"/>
        <w:pageBreakBefore w:val="0"/>
        <w:widowControl w:val="0"/>
        <w:numPr>
          <w:ilvl w:val="0"/>
          <w:numId w:val="0"/>
        </w:numPr>
        <w:tabs>
          <w:tab w:val="left" w:pos="1462"/>
        </w:tabs>
        <w:kinsoku/>
        <w:wordWrap/>
        <w:overflowPunct/>
        <w:topLinePunct w:val="0"/>
        <w:autoSpaceDE/>
        <w:autoSpaceDN/>
        <w:bidi w:val="0"/>
        <w:adjustRightInd/>
        <w:snapToGrid/>
        <w:spacing w:line="240" w:lineRule="auto"/>
        <w:textAlignment w:val="auto"/>
        <w:rPr>
          <w:rFonts w:hint="eastAsia" w:ascii="等线" w:hAnsi="等线" w:eastAsia="等线" w:cs="等线"/>
          <w:sz w:val="16"/>
          <w:szCs w:val="16"/>
          <w:vertAlign w:val="baseline"/>
          <w:lang w:val="en-US" w:eastAsia="zh-CN"/>
        </w:rPr>
      </w:pPr>
    </w:p>
    <w:tbl>
      <w:tblPr>
        <w:tblStyle w:val="6"/>
        <w:tblpPr w:leftFromText="180" w:rightFromText="180" w:vertAnchor="text" w:horzAnchor="page" w:tblpX="149" w:tblpY="-565"/>
        <w:tblOverlap w:val="never"/>
        <w:tblW w:w="172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72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17217" w:type="dxa"/>
            <w:shd w:val="clear" w:color="auto" w:fill="auto"/>
            <w:tcMar>
              <w:top w:w="180" w:type="dxa"/>
              <w:left w:w="150" w:type="dxa"/>
              <w:bottom w:w="180" w:type="dxa"/>
              <w:right w:w="150" w:type="dxa"/>
            </w:tcMar>
            <w:vAlign w:val="center"/>
          </w:tcPr>
          <w:p>
            <w:pPr>
              <w:keepNext w:val="0"/>
              <w:keepLines w:val="0"/>
              <w:widowControl/>
              <w:suppressLineNumbers w:val="0"/>
              <w:spacing w:before="0" w:beforeAutospacing="0" w:after="0" w:afterAutospacing="0"/>
              <w:ind w:left="0" w:right="0" w:firstLine="0"/>
              <w:jc w:val="left"/>
              <w:rPr>
                <w:rFonts w:ascii="微软雅黑" w:hAnsi="微软雅黑" w:eastAsia="微软雅黑" w:cs="微软雅黑"/>
                <w:i w:val="0"/>
                <w:iCs w:val="0"/>
                <w:caps w:val="0"/>
                <w:color w:val="737373"/>
                <w:spacing w:val="0"/>
                <w:sz w:val="21"/>
                <w:szCs w:val="21"/>
              </w:rPr>
            </w:pPr>
          </w:p>
        </w:tc>
      </w:tr>
    </w:tbl>
    <w:p>
      <w:pPr>
        <w:bidi w:val="0"/>
        <w:jc w:val="both"/>
        <w:rPr>
          <w:rFonts w:hint="eastAsia" w:asciiTheme="minorHAnsi" w:hAnsiTheme="minorHAnsi" w:eastAsiaTheme="minorEastAsia" w:cstheme="minorBidi"/>
          <w:kern w:val="2"/>
          <w:sz w:val="21"/>
          <w:szCs w:val="24"/>
          <w:lang w:val="en-US" w:eastAsia="zh-CN" w:bidi="ar-SA"/>
        </w:rPr>
      </w:pPr>
    </w:p>
    <w:p>
      <w:pPr>
        <w:bidi w:val="0"/>
        <w:jc w:val="center"/>
        <w:rPr>
          <w:rFonts w:hint="eastAsia" w:asciiTheme="minorHAnsi" w:hAnsiTheme="minorHAnsi" w:eastAsiaTheme="minorEastAsia" w:cstheme="minorBidi"/>
          <w:kern w:val="2"/>
          <w:sz w:val="21"/>
          <w:szCs w:val="24"/>
          <w:lang w:val="en-US" w:eastAsia="zh-CN" w:bidi="ar-SA"/>
        </w:rPr>
      </w:pPr>
    </w:p>
    <w:p>
      <w:pPr>
        <w:bidi w:val="0"/>
        <w:jc w:val="center"/>
        <w:rPr>
          <w:rFonts w:hint="eastAsia" w:asciiTheme="minorHAnsi" w:hAnsiTheme="minorHAnsi" w:eastAsiaTheme="minorEastAsia" w:cstheme="minorBidi"/>
          <w:kern w:val="2"/>
          <w:sz w:val="21"/>
          <w:szCs w:val="24"/>
          <w:lang w:val="en-US" w:eastAsia="zh-CN" w:bidi="ar-SA"/>
        </w:rPr>
      </w:pPr>
    </w:p>
    <w:p>
      <w:pPr>
        <w:bidi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2790825" cy="654685"/>
            <wp:effectExtent l="0" t="0" r="9525" b="12065"/>
            <wp:docPr id="7" name="图片 7" descr="identifi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dentificat"/>
                    <pic:cNvPicPr>
                      <a:picLocks noChangeAspect="1"/>
                    </pic:cNvPicPr>
                  </pic:nvPicPr>
                  <pic:blipFill>
                    <a:blip r:embed="rId7"/>
                    <a:stretch>
                      <a:fillRect/>
                    </a:stretch>
                  </pic:blipFill>
                  <pic:spPr>
                    <a:xfrm>
                      <a:off x="0" y="0"/>
                      <a:ext cx="2790825" cy="654685"/>
                    </a:xfrm>
                    <a:prstGeom prst="rect">
                      <a:avLst/>
                    </a:prstGeom>
                  </pic:spPr>
                </pic:pic>
              </a:graphicData>
            </a:graphic>
          </wp:inline>
        </w:drawing>
      </w:r>
    </w:p>
    <w:p>
      <w:pPr>
        <w:bidi w:val="0"/>
        <w:rPr>
          <w:rFonts w:hint="eastAsia" w:asciiTheme="minorHAnsi" w:hAnsiTheme="minorHAnsi" w:eastAsiaTheme="minorEastAsia" w:cstheme="minorBidi"/>
          <w:kern w:val="2"/>
          <w:sz w:val="21"/>
          <w:szCs w:val="24"/>
          <w:lang w:val="en-US" w:eastAsia="zh-CN" w:bidi="ar-SA"/>
        </w:rPr>
      </w:pPr>
    </w:p>
    <w:p>
      <w:pPr>
        <w:keepNext w:val="0"/>
        <w:keepLines w:val="0"/>
        <w:pageBreakBefore w:val="0"/>
        <w:widowControl w:val="0"/>
        <w:numPr>
          <w:ilvl w:val="0"/>
          <w:numId w:val="0"/>
        </w:numPr>
        <w:tabs>
          <w:tab w:val="left" w:pos="1462"/>
        </w:tabs>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vertAlign w:val="baseline"/>
          <w:lang w:val="en-US" w:eastAsia="zh-CN"/>
        </w:rPr>
      </w:pPr>
      <w:r>
        <w:rPr>
          <w:rFonts w:hint="eastAsia" w:ascii="等线" w:hAnsi="等线" w:eastAsia="等线" w:cs="等线"/>
          <w:b/>
          <w:bCs/>
          <w:sz w:val="24"/>
          <w:szCs w:val="24"/>
          <w:vertAlign w:val="baseline"/>
          <w:lang w:val="en-US" w:eastAsia="zh-CN"/>
        </w:rPr>
        <w:t>湖南农业大学</w:t>
      </w:r>
      <w:r>
        <w:rPr>
          <w:rFonts w:hint="eastAsia" w:ascii="等线" w:hAnsi="等线" w:eastAsia="等线" w:cs="等线"/>
          <w:sz w:val="24"/>
          <w:szCs w:val="24"/>
          <w:vertAlign w:val="baseline"/>
          <w:lang w:val="en-US" w:eastAsia="zh-CN"/>
        </w:rPr>
        <w:t>是中华人民共和国农业农村部与湖南省人民政府共建高校、国家“2011计划”协同创新中心牵头建设单位、全国首批新农村发展研究院建设试点单位、国家首批卓越农林人才教育培养计划项目试点高校、国家“中西部高校基础能力建设工程”入选高校、国家“特色重点学科项目”建设高校、国家建设高水平大学公派研究生项目实施高校、湖南省“双一流”A类建设高校、具有研究生推免资格的高校。</w:t>
      </w:r>
    </w:p>
    <w:tbl>
      <w:tblPr>
        <w:tblStyle w:val="7"/>
        <w:tblpPr w:leftFromText="180" w:rightFromText="180" w:vertAnchor="text" w:horzAnchor="page" w:tblpX="1311" w:tblpY="367"/>
        <w:tblOverlap w:val="never"/>
        <w:tblW w:w="55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200"/>
        <w:gridCol w:w="4740"/>
        <w:gridCol w:w="1527"/>
        <w:gridCol w:w="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2"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r>
              <w:rPr>
                <w:rFonts w:hint="eastAsia" w:ascii="等线" w:hAnsi="等线" w:eastAsia="等线" w:cs="等线"/>
                <w:b/>
                <w:bCs/>
                <w:color w:val="auto"/>
                <w:sz w:val="24"/>
                <w:szCs w:val="24"/>
                <w:vertAlign w:val="baseline"/>
                <w:lang w:val="en-US" w:eastAsia="zh-CN"/>
              </w:rPr>
              <w:t>层次</w:t>
            </w:r>
          </w:p>
        </w:tc>
        <w:tc>
          <w:tcPr>
            <w:tcW w:w="633"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kern w:val="2"/>
                <w:sz w:val="24"/>
                <w:szCs w:val="24"/>
                <w:vertAlign w:val="baseline"/>
                <w:lang w:val="en-US" w:eastAsia="zh-CN" w:bidi="ar-SA"/>
              </w:rPr>
            </w:pPr>
            <w:r>
              <w:rPr>
                <w:rFonts w:hint="eastAsia" w:ascii="等线" w:hAnsi="等线" w:eastAsia="等线" w:cs="等线"/>
                <w:b/>
                <w:bCs/>
                <w:color w:val="auto"/>
                <w:sz w:val="24"/>
                <w:szCs w:val="24"/>
                <w:vertAlign w:val="baseline"/>
                <w:lang w:val="en-US" w:eastAsia="zh-CN"/>
              </w:rPr>
              <w:t>类别</w:t>
            </w:r>
          </w:p>
        </w:tc>
        <w:tc>
          <w:tcPr>
            <w:tcW w:w="250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r>
              <w:rPr>
                <w:rFonts w:hint="eastAsia" w:ascii="等线" w:hAnsi="等线" w:eastAsia="等线" w:cs="等线"/>
                <w:b/>
                <w:bCs/>
                <w:color w:val="auto"/>
                <w:sz w:val="24"/>
                <w:szCs w:val="24"/>
                <w:vertAlign w:val="baseline"/>
                <w:lang w:val="en-US" w:eastAsia="zh-CN"/>
              </w:rPr>
              <w:t>专业</w:t>
            </w:r>
            <w:r>
              <w:rPr>
                <w:rFonts w:hint="eastAsia" w:ascii="等线" w:hAnsi="等线" w:eastAsia="等线" w:cs="等线"/>
                <w:b w:val="0"/>
                <w:bCs w:val="0"/>
                <w:color w:val="auto"/>
                <w:sz w:val="21"/>
                <w:szCs w:val="21"/>
                <w:vertAlign w:val="baseline"/>
                <w:lang w:val="en-US" w:eastAsia="zh-CN"/>
              </w:rPr>
              <w:t>（函授）</w:t>
            </w:r>
          </w:p>
        </w:tc>
        <w:tc>
          <w:tcPr>
            <w:tcW w:w="805"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kern w:val="2"/>
                <w:sz w:val="24"/>
                <w:szCs w:val="24"/>
                <w:vertAlign w:val="baseline"/>
                <w:lang w:val="en-US" w:eastAsia="zh-CN" w:bidi="ar-SA"/>
              </w:rPr>
            </w:pPr>
            <w:r>
              <w:rPr>
                <w:rFonts w:hint="eastAsia" w:ascii="等线" w:hAnsi="等线" w:eastAsia="等线" w:cs="等线"/>
                <w:b/>
                <w:bCs/>
                <w:color w:val="auto"/>
                <w:sz w:val="24"/>
                <w:szCs w:val="24"/>
                <w:vertAlign w:val="baseline"/>
                <w:lang w:val="en-US" w:eastAsia="zh-CN"/>
              </w:rPr>
              <w:t>学费标准</w:t>
            </w:r>
          </w:p>
        </w:tc>
        <w:tc>
          <w:tcPr>
            <w:tcW w:w="49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r>
              <w:rPr>
                <w:rFonts w:hint="eastAsia" w:ascii="等线" w:hAnsi="等线" w:eastAsia="等线" w:cs="等线"/>
                <w:b/>
                <w:bCs/>
                <w:color w:val="auto"/>
                <w:sz w:val="24"/>
                <w:szCs w:val="24"/>
                <w:vertAlign w:val="baseline"/>
                <w:lang w:val="en-US" w:eastAsia="zh-CN"/>
              </w:rPr>
              <w:t>学制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562" w:type="pct"/>
            <w:vMerge w:val="restar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r>
              <w:rPr>
                <w:rFonts w:hint="eastAsia" w:ascii="等线" w:hAnsi="等线" w:eastAsia="等线" w:cs="等线"/>
                <w:b/>
                <w:bCs/>
                <w:color w:val="auto"/>
                <w:sz w:val="24"/>
                <w:szCs w:val="24"/>
                <w:vertAlign w:val="baseline"/>
                <w:lang w:val="en-US" w:eastAsia="zh-CN"/>
              </w:rPr>
              <w:t>高起专</w:t>
            </w:r>
          </w:p>
        </w:tc>
        <w:tc>
          <w:tcPr>
            <w:tcW w:w="633" w:type="pct"/>
            <w:vMerge w:val="restar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理工类</w:t>
            </w:r>
          </w:p>
        </w:tc>
        <w:tc>
          <w:tcPr>
            <w:tcW w:w="2501" w:type="pct"/>
            <w:vMerge w:val="restar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36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畜牧兽医、建筑工程技术</w:t>
            </w:r>
          </w:p>
          <w:p>
            <w:pPr>
              <w:spacing w:line="360" w:lineRule="auto"/>
              <w:jc w:val="center"/>
              <w:rPr>
                <w:rFonts w:hint="eastAsia" w:ascii="等线" w:hAnsi="等线" w:eastAsia="等线" w:cs="等线"/>
                <w:b w:val="0"/>
                <w:bCs w:val="0"/>
                <w:color w:val="auto"/>
                <w:sz w:val="24"/>
                <w:szCs w:val="24"/>
                <w:vertAlign w:val="baseline"/>
                <w:lang w:val="en-US" w:eastAsia="zh-CN"/>
              </w:rPr>
            </w:pPr>
            <w:r>
              <w:rPr>
                <w:rFonts w:hint="eastAsia" w:ascii="等线" w:hAnsi="等线" w:eastAsia="等线" w:cs="等线"/>
                <w:b w:val="0"/>
                <w:bCs w:val="0"/>
                <w:color w:val="auto"/>
                <w:sz w:val="22"/>
                <w:szCs w:val="22"/>
                <w:vertAlign w:val="baseline"/>
                <w:lang w:val="en-US" w:eastAsia="zh-CN"/>
              </w:rPr>
              <w:t>园林技术、作物生产与经营管理</w:t>
            </w:r>
          </w:p>
        </w:tc>
        <w:tc>
          <w:tcPr>
            <w:tcW w:w="805"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2200元/年</w:t>
            </w:r>
          </w:p>
        </w:tc>
        <w:tc>
          <w:tcPr>
            <w:tcW w:w="497" w:type="pct"/>
            <w:vMerge w:val="restar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r>
              <w:rPr>
                <w:rFonts w:hint="eastAsia" w:ascii="等线" w:hAnsi="等线" w:eastAsia="等线" w:cs="等线"/>
                <w:b w:val="0"/>
                <w:bCs w:val="0"/>
                <w:color w:val="auto"/>
                <w:sz w:val="22"/>
                <w:szCs w:val="22"/>
                <w:vertAlign w:val="baseline"/>
                <w:lang w:val="en-US" w:eastAsia="zh-CN"/>
              </w:rPr>
              <w:t>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562" w:type="pct"/>
            <w:vMerge w:val="restar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r>
              <w:rPr>
                <w:rFonts w:hint="eastAsia" w:ascii="等线" w:hAnsi="等线" w:eastAsia="等线" w:cs="等线"/>
                <w:b/>
                <w:bCs/>
                <w:color w:val="auto"/>
                <w:sz w:val="24"/>
                <w:szCs w:val="24"/>
                <w:vertAlign w:val="baseline"/>
                <w:lang w:val="en-US" w:eastAsia="zh-CN"/>
              </w:rPr>
              <w:t>高起本</w:t>
            </w:r>
          </w:p>
        </w:tc>
        <w:tc>
          <w:tcPr>
            <w:tcW w:w="633" w:type="pc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理工类</w:t>
            </w:r>
          </w:p>
        </w:tc>
        <w:tc>
          <w:tcPr>
            <w:tcW w:w="2501" w:type="pc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计算机科学与技术、食品科学与工程、农学</w:t>
            </w:r>
          </w:p>
        </w:tc>
        <w:tc>
          <w:tcPr>
            <w:tcW w:w="805"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2200元/年</w:t>
            </w:r>
          </w:p>
        </w:tc>
        <w:tc>
          <w:tcPr>
            <w:tcW w:w="497" w:type="pct"/>
            <w:vMerge w:val="restar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562" w:type="pct"/>
            <w:vMerge w:val="restart"/>
            <w:tcBorders>
              <w:left w:val="single" w:color="000000" w:themeColor="text1" w:sz="8" w:space="0"/>
              <w:right w:val="single" w:color="000000" w:themeColor="text1" w:sz="8" w:space="0"/>
            </w:tcBorders>
            <w:shd w:val="clear" w:color="auto" w:fill="auto"/>
            <w:vAlign w:val="center"/>
          </w:tcPr>
          <w:p>
            <w:pPr>
              <w:spacing w:line="240" w:lineRule="auto"/>
              <w:jc w:val="center"/>
              <w:rPr>
                <w:rFonts w:hint="default" w:ascii="等线" w:hAnsi="等线" w:eastAsia="等线" w:cs="等线"/>
                <w:b/>
                <w:bCs/>
                <w:color w:val="auto"/>
                <w:sz w:val="24"/>
                <w:szCs w:val="24"/>
                <w:vertAlign w:val="baseline"/>
                <w:lang w:val="en-US" w:eastAsia="zh-CN"/>
              </w:rPr>
            </w:pPr>
            <w:r>
              <w:rPr>
                <w:rFonts w:hint="eastAsia" w:ascii="等线" w:hAnsi="等线" w:eastAsia="等线" w:cs="等线"/>
                <w:b/>
                <w:bCs/>
                <w:color w:val="auto"/>
                <w:sz w:val="24"/>
                <w:szCs w:val="24"/>
                <w:vertAlign w:val="baseline"/>
                <w:lang w:val="en-US" w:eastAsia="zh-CN"/>
              </w:rPr>
              <w:t>专升本</w:t>
            </w:r>
          </w:p>
        </w:tc>
        <w:tc>
          <w:tcPr>
            <w:tcW w:w="633"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经管类</w:t>
            </w:r>
          </w:p>
        </w:tc>
        <w:tc>
          <w:tcPr>
            <w:tcW w:w="250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36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电子商务、</w:t>
            </w:r>
          </w:p>
          <w:p>
            <w:pPr>
              <w:spacing w:line="36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公共事业管理、农林经济管理</w:t>
            </w:r>
          </w:p>
        </w:tc>
        <w:tc>
          <w:tcPr>
            <w:tcW w:w="805" w:type="pct"/>
            <w:tcBorders>
              <w:top w:val="single" w:color="000000" w:themeColor="text1" w:sz="8" w:space="0"/>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2100元/年</w:t>
            </w:r>
          </w:p>
        </w:tc>
        <w:tc>
          <w:tcPr>
            <w:tcW w:w="497" w:type="pct"/>
            <w:vMerge w:val="restart"/>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562" w:type="pct"/>
            <w:vMerge w:val="continue"/>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p>
        </w:tc>
        <w:tc>
          <w:tcPr>
            <w:tcW w:w="633"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农学类</w:t>
            </w:r>
          </w:p>
        </w:tc>
        <w:tc>
          <w:tcPr>
            <w:tcW w:w="250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240" w:lineRule="auto"/>
              <w:jc w:val="center"/>
              <w:rPr>
                <w:rFonts w:hint="default"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动物医学、农学、园林</w:t>
            </w:r>
            <w:r>
              <w:rPr>
                <w:rFonts w:hint="eastAsia" w:ascii="等线" w:hAnsi="等线" w:eastAsia="等线" w:cs="等线"/>
                <w:b w:val="0"/>
                <w:bCs w:val="0"/>
                <w:color w:val="auto"/>
                <w:sz w:val="22"/>
                <w:szCs w:val="22"/>
                <w:vertAlign w:val="baseline"/>
                <w:lang w:val="en-US" w:eastAsia="zh-CN"/>
              </w:rPr>
              <w:br w:type="textWrapping"/>
            </w:r>
            <w:r>
              <w:rPr>
                <w:rFonts w:hint="eastAsia" w:ascii="等线" w:hAnsi="等线" w:eastAsia="等线" w:cs="等线"/>
                <w:b w:val="0"/>
                <w:bCs w:val="0"/>
                <w:color w:val="auto"/>
                <w:sz w:val="22"/>
                <w:szCs w:val="22"/>
                <w:vertAlign w:val="baseline"/>
                <w:lang w:val="en-US" w:eastAsia="zh-CN"/>
              </w:rPr>
              <w:t>茶学、水产养殖学</w:t>
            </w:r>
          </w:p>
        </w:tc>
        <w:tc>
          <w:tcPr>
            <w:tcW w:w="805" w:type="pct"/>
            <w:tcBorders>
              <w:left w:val="single" w:color="000000" w:themeColor="text1" w:sz="8" w:space="0"/>
              <w:right w:val="single" w:color="000000" w:themeColor="text1" w:sz="8" w:space="0"/>
            </w:tcBorders>
            <w:shd w:val="clear" w:color="auto" w:fill="auto"/>
            <w:vAlign w:val="center"/>
          </w:tcPr>
          <w:p>
            <w:pPr>
              <w:spacing w:line="240" w:lineRule="auto"/>
              <w:jc w:val="center"/>
              <w:rPr>
                <w:rFonts w:hint="default"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2200元/年</w:t>
            </w:r>
          </w:p>
        </w:tc>
        <w:tc>
          <w:tcPr>
            <w:tcW w:w="497" w:type="pct"/>
            <w:vMerge w:val="continue"/>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562" w:type="pct"/>
            <w:vMerge w:val="continue"/>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p>
        </w:tc>
        <w:tc>
          <w:tcPr>
            <w:tcW w:w="633"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36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理工类</w:t>
            </w:r>
          </w:p>
        </w:tc>
        <w:tc>
          <w:tcPr>
            <w:tcW w:w="250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36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环境工程、土木工程、⻝品质量与安全</w:t>
            </w:r>
          </w:p>
          <w:p>
            <w:pPr>
              <w:spacing w:line="360" w:lineRule="auto"/>
              <w:jc w:val="center"/>
              <w:rPr>
                <w:rFonts w:hint="default"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食品科学与工程、水利水电工程、机械设计制造及其自动化、计算机科学与技术</w:t>
            </w:r>
          </w:p>
        </w:tc>
        <w:tc>
          <w:tcPr>
            <w:tcW w:w="805" w:type="pct"/>
            <w:tcBorders>
              <w:left w:val="single" w:color="000000" w:themeColor="text1" w:sz="8" w:space="0"/>
              <w:right w:val="single" w:color="000000" w:themeColor="text1" w:sz="8" w:space="0"/>
            </w:tcBorders>
            <w:shd w:val="clear" w:color="auto" w:fill="auto"/>
            <w:vAlign w:val="center"/>
          </w:tcPr>
          <w:p>
            <w:pPr>
              <w:spacing w:line="240" w:lineRule="auto"/>
              <w:jc w:val="center"/>
              <w:rPr>
                <w:rFonts w:hint="default"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2200元/年</w:t>
            </w:r>
          </w:p>
        </w:tc>
        <w:tc>
          <w:tcPr>
            <w:tcW w:w="497" w:type="pct"/>
            <w:vMerge w:val="continue"/>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562" w:type="pct"/>
            <w:vMerge w:val="continue"/>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bCs/>
                <w:color w:val="auto"/>
                <w:sz w:val="24"/>
                <w:szCs w:val="24"/>
                <w:vertAlign w:val="baseline"/>
                <w:lang w:val="en-US" w:eastAsia="zh-CN"/>
              </w:rPr>
            </w:pPr>
          </w:p>
        </w:tc>
        <w:tc>
          <w:tcPr>
            <w:tcW w:w="633"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360" w:lineRule="auto"/>
              <w:jc w:val="center"/>
              <w:rPr>
                <w:rFonts w:hint="default"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教育类</w:t>
            </w:r>
          </w:p>
        </w:tc>
        <w:tc>
          <w:tcPr>
            <w:tcW w:w="250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vAlign w:val="center"/>
          </w:tcPr>
          <w:p>
            <w:pPr>
              <w:spacing w:line="360" w:lineRule="auto"/>
              <w:jc w:val="center"/>
              <w:rPr>
                <w:rFonts w:hint="default"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教育学</w:t>
            </w:r>
          </w:p>
        </w:tc>
        <w:tc>
          <w:tcPr>
            <w:tcW w:w="805" w:type="pct"/>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2100元/年</w:t>
            </w:r>
          </w:p>
        </w:tc>
        <w:tc>
          <w:tcPr>
            <w:tcW w:w="497" w:type="pct"/>
            <w:tcBorders>
              <w:left w:val="single" w:color="000000" w:themeColor="text1" w:sz="8" w:space="0"/>
              <w:right w:val="single" w:color="000000" w:themeColor="text1" w:sz="8" w:space="0"/>
            </w:tcBorders>
            <w:shd w:val="clear" w:color="auto" w:fill="auto"/>
            <w:vAlign w:val="center"/>
          </w:tcPr>
          <w:p>
            <w:pPr>
              <w:spacing w:line="240" w:lineRule="auto"/>
              <w:jc w:val="center"/>
              <w:rPr>
                <w:rFonts w:hint="eastAsia" w:ascii="等线" w:hAnsi="等线" w:eastAsia="等线" w:cs="等线"/>
                <w:b w:val="0"/>
                <w:bCs w:val="0"/>
                <w:color w:val="auto"/>
                <w:sz w:val="24"/>
                <w:szCs w:val="24"/>
                <w:vertAlign w:val="baseline"/>
                <w:lang w:val="en-US" w:eastAsia="zh-CN"/>
              </w:rPr>
            </w:pPr>
            <w:r>
              <w:rPr>
                <w:rFonts w:hint="eastAsia" w:ascii="等线" w:hAnsi="等线" w:eastAsia="等线" w:cs="等线"/>
                <w:b w:val="0"/>
                <w:bCs w:val="0"/>
                <w:color w:val="auto"/>
                <w:sz w:val="22"/>
                <w:szCs w:val="22"/>
                <w:vertAlign w:val="baseline"/>
                <w:lang w:val="en-US" w:eastAsia="zh-CN"/>
              </w:rPr>
              <w:t>2.5年</w:t>
            </w:r>
          </w:p>
        </w:tc>
      </w:tr>
    </w:tbl>
    <w:p>
      <w:pPr>
        <w:tabs>
          <w:tab w:val="left" w:pos="1396"/>
        </w:tabs>
        <w:bidi w:val="0"/>
        <w:jc w:val="left"/>
        <w:rPr>
          <w:rFonts w:hint="eastAsia"/>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720" w:lineRule="auto"/>
        <w:jc w:val="both"/>
        <w:textAlignment w:val="auto"/>
        <w:outlineLvl w:val="9"/>
        <w:rPr>
          <w:rFonts w:hint="eastAsia" w:ascii="等线" w:hAnsi="等线" w:eastAsia="等线" w:cs="等线"/>
          <w:b/>
          <w:bCs/>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720" w:lineRule="auto"/>
        <w:jc w:val="center"/>
        <w:textAlignment w:val="auto"/>
        <w:outlineLvl w:val="9"/>
        <w:rPr>
          <w:rFonts w:hint="eastAsia" w:ascii="等线" w:hAnsi="等线" w:eastAsia="等线" w:cs="等线"/>
          <w:b/>
          <w:bCs/>
          <w:sz w:val="28"/>
          <w:szCs w:val="28"/>
          <w:lang w:val="en-US" w:eastAsia="zh-CN"/>
        </w:rPr>
      </w:pPr>
      <w:r>
        <w:rPr>
          <w:rFonts w:hint="eastAsia" w:ascii="等线" w:hAnsi="等线" w:eastAsia="等线" w:cs="等线"/>
          <w:b/>
          <w:bCs/>
          <w:sz w:val="28"/>
          <w:szCs w:val="28"/>
          <w:lang w:val="en-US" w:eastAsia="zh-CN"/>
        </w:rPr>
        <w:drawing>
          <wp:inline distT="0" distB="0" distL="114300" distR="114300">
            <wp:extent cx="3853815" cy="875665"/>
            <wp:effectExtent l="0" t="0" r="0" b="635"/>
            <wp:docPr id="5" name="图片 5" descr="log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logo_1"/>
                    <pic:cNvPicPr>
                      <a:picLocks noChangeAspect="1"/>
                    </pic:cNvPicPr>
                  </pic:nvPicPr>
                  <pic:blipFill>
                    <a:blip r:embed="rId8"/>
                    <a:srcRect r="55917"/>
                    <a:stretch>
                      <a:fillRect/>
                    </a:stretch>
                  </pic:blipFill>
                  <pic:spPr>
                    <a:xfrm>
                      <a:off x="0" y="0"/>
                      <a:ext cx="3853815" cy="875665"/>
                    </a:xfrm>
                    <a:prstGeom prst="rect">
                      <a:avLst/>
                    </a:prstGeom>
                  </pic:spPr>
                </pic:pic>
              </a:graphicData>
            </a:graphic>
          </wp:inline>
        </w:drawing>
      </w:r>
    </w:p>
    <w:p>
      <w:pPr>
        <w:keepNext w:val="0"/>
        <w:keepLines w:val="0"/>
        <w:pageBreakBefore w:val="0"/>
        <w:widowControl w:val="0"/>
        <w:numPr>
          <w:ilvl w:val="0"/>
          <w:numId w:val="0"/>
        </w:numPr>
        <w:tabs>
          <w:tab w:val="left" w:pos="1462"/>
        </w:tabs>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b/>
          <w:bCs/>
          <w:sz w:val="24"/>
          <w:szCs w:val="24"/>
          <w:vertAlign w:val="baseline"/>
          <w:lang w:val="en-US" w:eastAsia="zh-CN"/>
        </w:rPr>
      </w:pPr>
    </w:p>
    <w:p>
      <w:pPr>
        <w:keepNext w:val="0"/>
        <w:keepLines w:val="0"/>
        <w:pageBreakBefore w:val="0"/>
        <w:widowControl w:val="0"/>
        <w:numPr>
          <w:ilvl w:val="0"/>
          <w:numId w:val="0"/>
        </w:numPr>
        <w:tabs>
          <w:tab w:val="left" w:pos="1462"/>
        </w:tabs>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vertAlign w:val="baseline"/>
          <w:lang w:val="en-US" w:eastAsia="zh-CN"/>
        </w:rPr>
      </w:pPr>
      <w:r>
        <w:rPr>
          <w:rFonts w:hint="eastAsia" w:ascii="等线" w:hAnsi="等线" w:eastAsia="等线" w:cs="等线"/>
          <w:b/>
          <w:bCs/>
          <w:sz w:val="24"/>
          <w:szCs w:val="24"/>
          <w:vertAlign w:val="baseline"/>
          <w:lang w:val="en-US" w:eastAsia="zh-CN"/>
        </w:rPr>
        <w:t>中南林业科技大学</w:t>
      </w:r>
      <w:r>
        <w:rPr>
          <w:rFonts w:hint="eastAsia" w:ascii="等线" w:hAnsi="等线" w:eastAsia="等线" w:cs="等线"/>
          <w:sz w:val="24"/>
          <w:szCs w:val="24"/>
          <w:vertAlign w:val="baseline"/>
          <w:lang w:val="en-US" w:eastAsia="zh-CN"/>
        </w:rPr>
        <w:t>是国家林业和草原局与湖南省人民政府共建的省部共建大学、省属重点大学、湖南省“双一流”建设项目高校，入选国家“中西部高校基础能力建设工程”、卓越农林人才教育培养计划、国家“特色重点学科项目”、国家建设高水平大学公派研究生项目、湖南省2011计划，是湖南省属具有研究生推免资格的高校之一，亦是湖南省第一个拥有研究生院的省属高校。</w:t>
      </w:r>
    </w:p>
    <w:tbl>
      <w:tblPr>
        <w:tblStyle w:val="7"/>
        <w:tblpPr w:leftFromText="180" w:rightFromText="180" w:vertAnchor="text" w:horzAnchor="page" w:tblpXSpec="center" w:tblpY="231"/>
        <w:tblOverlap w:val="never"/>
        <w:tblW w:w="9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93"/>
        <w:gridCol w:w="1179"/>
        <w:gridCol w:w="4740"/>
        <w:gridCol w:w="1538"/>
        <w:gridCol w:w="1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093" w:type="dxa"/>
            <w:tcBorders>
              <w:tl2br w:val="nil"/>
              <w:tr2bl w:val="nil"/>
            </w:tcBorders>
            <w:shd w:val="clear" w:color="auto" w:fill="auto"/>
            <w:vAlign w:val="center"/>
          </w:tcPr>
          <w:p>
            <w:pPr>
              <w:spacing w:line="360" w:lineRule="auto"/>
              <w:ind w:left="241" w:hanging="240" w:hangingChars="100"/>
              <w:jc w:val="center"/>
              <w:rPr>
                <w:rFonts w:hint="eastAsia" w:ascii="等线" w:hAnsi="等线" w:eastAsia="等线" w:cs="等线"/>
                <w:b/>
                <w:bCs/>
                <w:color w:val="auto"/>
                <w:kern w:val="2"/>
                <w:sz w:val="24"/>
                <w:szCs w:val="24"/>
                <w:vertAlign w:val="baseline"/>
                <w:lang w:val="en-US" w:eastAsia="zh-CN" w:bidi="ar-SA"/>
              </w:rPr>
            </w:pPr>
            <w:r>
              <w:rPr>
                <w:rFonts w:hint="eastAsia" w:ascii="等线" w:hAnsi="等线" w:eastAsia="等线" w:cs="等线"/>
                <w:b/>
                <w:bCs/>
                <w:color w:val="auto"/>
                <w:kern w:val="2"/>
                <w:sz w:val="24"/>
                <w:szCs w:val="24"/>
                <w:vertAlign w:val="baseline"/>
                <w:lang w:val="en-US" w:eastAsia="zh-CN" w:bidi="ar-SA"/>
              </w:rPr>
              <w:t>层次</w:t>
            </w:r>
          </w:p>
        </w:tc>
        <w:tc>
          <w:tcPr>
            <w:tcW w:w="1179" w:type="dxa"/>
            <w:tcBorders>
              <w:tl2br w:val="nil"/>
              <w:tr2bl w:val="nil"/>
            </w:tcBorders>
            <w:shd w:val="clear" w:color="auto" w:fill="auto"/>
            <w:vAlign w:val="center"/>
          </w:tcPr>
          <w:p>
            <w:pPr>
              <w:spacing w:line="360" w:lineRule="auto"/>
              <w:jc w:val="center"/>
              <w:rPr>
                <w:rFonts w:hint="eastAsia" w:ascii="等线" w:hAnsi="等线" w:eastAsia="等线" w:cs="等线"/>
                <w:b/>
                <w:bCs/>
                <w:color w:val="auto"/>
                <w:kern w:val="2"/>
                <w:sz w:val="24"/>
                <w:szCs w:val="24"/>
                <w:vertAlign w:val="baseline"/>
                <w:lang w:val="en-US" w:eastAsia="zh-CN" w:bidi="ar-SA"/>
              </w:rPr>
            </w:pPr>
            <w:r>
              <w:rPr>
                <w:rFonts w:hint="eastAsia" w:ascii="等线" w:hAnsi="等线" w:eastAsia="等线" w:cs="等线"/>
                <w:b/>
                <w:bCs/>
                <w:color w:val="auto"/>
                <w:sz w:val="24"/>
                <w:szCs w:val="24"/>
                <w:vertAlign w:val="baseline"/>
                <w:lang w:val="en-US" w:eastAsia="zh-CN"/>
              </w:rPr>
              <w:t>类别</w:t>
            </w:r>
          </w:p>
        </w:tc>
        <w:tc>
          <w:tcPr>
            <w:tcW w:w="4740" w:type="dxa"/>
            <w:tcBorders>
              <w:tl2br w:val="nil"/>
              <w:tr2bl w:val="nil"/>
            </w:tcBorders>
            <w:shd w:val="clear" w:color="auto" w:fill="auto"/>
            <w:vAlign w:val="center"/>
          </w:tcPr>
          <w:p>
            <w:pPr>
              <w:spacing w:line="360" w:lineRule="auto"/>
              <w:jc w:val="center"/>
              <w:rPr>
                <w:rFonts w:hint="eastAsia" w:ascii="等线" w:hAnsi="等线" w:eastAsia="等线" w:cs="等线"/>
                <w:b/>
                <w:bCs/>
                <w:color w:val="auto"/>
                <w:kern w:val="2"/>
                <w:sz w:val="24"/>
                <w:szCs w:val="24"/>
                <w:vertAlign w:val="baseline"/>
                <w:lang w:val="en-US" w:eastAsia="zh-CN" w:bidi="ar-SA"/>
              </w:rPr>
            </w:pPr>
            <w:r>
              <w:rPr>
                <w:rFonts w:hint="eastAsia" w:ascii="等线" w:hAnsi="等线" w:eastAsia="等线" w:cs="等线"/>
                <w:b/>
                <w:bCs/>
                <w:color w:val="auto"/>
                <w:sz w:val="24"/>
                <w:szCs w:val="24"/>
                <w:vertAlign w:val="baseline"/>
                <w:lang w:val="en-US" w:eastAsia="zh-CN"/>
              </w:rPr>
              <w:t>专业</w:t>
            </w:r>
            <w:r>
              <w:rPr>
                <w:rFonts w:hint="eastAsia" w:ascii="等线" w:hAnsi="等线" w:eastAsia="等线" w:cs="等线"/>
                <w:b w:val="0"/>
                <w:bCs w:val="0"/>
                <w:color w:val="auto"/>
                <w:sz w:val="20"/>
                <w:szCs w:val="20"/>
                <w:vertAlign w:val="baseline"/>
                <w:lang w:val="en-US" w:eastAsia="zh-CN"/>
              </w:rPr>
              <w:t>（</w:t>
            </w:r>
            <w:r>
              <w:rPr>
                <w:rFonts w:hint="eastAsia" w:ascii="等线" w:hAnsi="等线" w:eastAsia="等线" w:cs="等线"/>
                <w:b w:val="0"/>
                <w:bCs w:val="0"/>
                <w:color w:val="auto"/>
                <w:sz w:val="21"/>
                <w:szCs w:val="21"/>
                <w:vertAlign w:val="baseline"/>
                <w:lang w:val="en-US" w:eastAsia="zh-CN"/>
              </w:rPr>
              <w:t>函授</w:t>
            </w:r>
            <w:r>
              <w:rPr>
                <w:rFonts w:hint="eastAsia" w:ascii="等线" w:hAnsi="等线" w:eastAsia="等线" w:cs="等线"/>
                <w:b w:val="0"/>
                <w:bCs w:val="0"/>
                <w:color w:val="auto"/>
                <w:sz w:val="20"/>
                <w:szCs w:val="20"/>
                <w:vertAlign w:val="baseline"/>
                <w:lang w:val="en-US" w:eastAsia="zh-CN"/>
              </w:rPr>
              <w:t>）</w:t>
            </w:r>
          </w:p>
        </w:tc>
        <w:tc>
          <w:tcPr>
            <w:tcW w:w="1538" w:type="dxa"/>
            <w:tcBorders>
              <w:tl2br w:val="nil"/>
              <w:tr2bl w:val="nil"/>
            </w:tcBorders>
            <w:shd w:val="clear" w:color="auto" w:fill="auto"/>
            <w:vAlign w:val="center"/>
          </w:tcPr>
          <w:p>
            <w:pPr>
              <w:spacing w:line="360" w:lineRule="auto"/>
              <w:jc w:val="center"/>
              <w:rPr>
                <w:rFonts w:hint="eastAsia" w:ascii="等线" w:hAnsi="等线" w:eastAsia="等线" w:cs="等线"/>
                <w:b/>
                <w:bCs/>
                <w:color w:val="auto"/>
                <w:kern w:val="2"/>
                <w:sz w:val="24"/>
                <w:szCs w:val="24"/>
                <w:vertAlign w:val="baseline"/>
                <w:lang w:val="en-US" w:eastAsia="zh-CN" w:bidi="ar-SA"/>
              </w:rPr>
            </w:pPr>
            <w:r>
              <w:rPr>
                <w:rFonts w:hint="eastAsia" w:ascii="等线" w:hAnsi="等线" w:eastAsia="等线" w:cs="等线"/>
                <w:b/>
                <w:bCs/>
                <w:color w:val="auto"/>
                <w:sz w:val="24"/>
                <w:szCs w:val="24"/>
                <w:vertAlign w:val="baseline"/>
                <w:lang w:val="en-US" w:eastAsia="zh-CN"/>
              </w:rPr>
              <w:t>学费标准</w:t>
            </w:r>
          </w:p>
        </w:tc>
        <w:tc>
          <w:tcPr>
            <w:tcW w:w="1034" w:type="dxa"/>
            <w:tcBorders>
              <w:tl2br w:val="nil"/>
              <w:tr2bl w:val="nil"/>
            </w:tcBorders>
            <w:shd w:val="clear" w:color="auto" w:fill="auto"/>
            <w:vAlign w:val="center"/>
          </w:tcPr>
          <w:p>
            <w:pPr>
              <w:spacing w:line="360" w:lineRule="auto"/>
              <w:jc w:val="center"/>
              <w:rPr>
                <w:rFonts w:hint="eastAsia" w:ascii="等线" w:hAnsi="等线" w:eastAsia="等线" w:cs="等线"/>
                <w:b/>
                <w:bCs/>
                <w:color w:val="auto"/>
                <w:sz w:val="24"/>
                <w:szCs w:val="24"/>
                <w:vertAlign w:val="baseline"/>
                <w:lang w:val="en-US" w:eastAsia="zh-CN"/>
              </w:rPr>
            </w:pPr>
            <w:r>
              <w:rPr>
                <w:rFonts w:hint="eastAsia" w:ascii="等线" w:hAnsi="等线" w:eastAsia="等线" w:cs="等线"/>
                <w:b/>
                <w:bCs/>
                <w:color w:val="auto"/>
                <w:sz w:val="24"/>
                <w:szCs w:val="24"/>
                <w:vertAlign w:val="baseline"/>
                <w:lang w:val="en-US" w:eastAsia="zh-CN"/>
              </w:rPr>
              <w:t>学制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4" w:hRule="atLeast"/>
          <w:jc w:val="center"/>
        </w:trPr>
        <w:tc>
          <w:tcPr>
            <w:tcW w:w="1093" w:type="dxa"/>
            <w:vMerge w:val="restart"/>
            <w:tcBorders>
              <w:tl2br w:val="nil"/>
              <w:tr2bl w:val="nil"/>
            </w:tcBorders>
            <w:shd w:val="clear" w:color="auto" w:fill="auto"/>
            <w:vAlign w:val="center"/>
          </w:tcPr>
          <w:p>
            <w:pPr>
              <w:bidi w:val="0"/>
              <w:spacing w:line="360" w:lineRule="auto"/>
              <w:jc w:val="center"/>
              <w:rPr>
                <w:rFonts w:hint="default" w:ascii="等线" w:hAnsi="等线" w:eastAsia="等线" w:cs="等线"/>
                <w:b/>
                <w:bCs/>
                <w:color w:val="auto"/>
                <w:sz w:val="24"/>
                <w:szCs w:val="24"/>
                <w:lang w:val="en-US" w:eastAsia="zh-CN"/>
              </w:rPr>
            </w:pPr>
            <w:r>
              <w:rPr>
                <w:rFonts w:hint="eastAsia" w:ascii="等线" w:hAnsi="等线" w:eastAsia="等线" w:cs="等线"/>
                <w:b/>
                <w:bCs/>
                <w:color w:val="auto"/>
                <w:sz w:val="24"/>
                <w:szCs w:val="24"/>
                <w:lang w:val="en-US" w:eastAsia="zh-CN"/>
              </w:rPr>
              <w:t>高</w:t>
            </w:r>
            <w:r>
              <w:rPr>
                <w:rFonts w:hint="eastAsia" w:ascii="等线" w:hAnsi="等线" w:eastAsia="等线" w:cs="等线"/>
                <w:b/>
                <w:bCs/>
                <w:color w:val="auto"/>
                <w:sz w:val="24"/>
                <w:szCs w:val="24"/>
                <w:vertAlign w:val="baseline"/>
                <w:lang w:val="en-US" w:eastAsia="zh-CN"/>
              </w:rPr>
              <w:t>起</w:t>
            </w:r>
            <w:r>
              <w:rPr>
                <w:rFonts w:hint="eastAsia" w:ascii="等线" w:hAnsi="等线" w:eastAsia="等线" w:cs="等线"/>
                <w:b/>
                <w:bCs/>
                <w:color w:val="auto"/>
                <w:sz w:val="24"/>
                <w:szCs w:val="24"/>
                <w:lang w:val="en-US" w:eastAsia="zh-CN"/>
              </w:rPr>
              <w:t>专</w:t>
            </w:r>
          </w:p>
        </w:tc>
        <w:tc>
          <w:tcPr>
            <w:tcW w:w="1179"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文史类</w:t>
            </w:r>
          </w:p>
        </w:tc>
        <w:tc>
          <w:tcPr>
            <w:tcW w:w="4740" w:type="dxa"/>
            <w:tcBorders>
              <w:tl2br w:val="nil"/>
              <w:tr2bl w:val="nil"/>
            </w:tcBorders>
            <w:shd w:val="clear" w:color="auto" w:fill="auto"/>
            <w:vAlign w:val="center"/>
          </w:tcPr>
          <w:p>
            <w:pPr>
              <w:keepNext w:val="0"/>
              <w:keepLines w:val="0"/>
              <w:widowControl/>
              <w:suppressLineNumbers w:val="0"/>
              <w:spacing w:line="360" w:lineRule="auto"/>
              <w:jc w:val="center"/>
              <w:textAlignment w:val="center"/>
              <w:rPr>
                <w:rFonts w:hint="eastAsia" w:ascii="等线" w:hAnsi="等线" w:eastAsia="等线" w:cs="等线"/>
                <w:b w:val="0"/>
                <w:bCs w:val="0"/>
                <w:i w:val="0"/>
                <w:iCs w:val="0"/>
                <w:color w:val="auto"/>
                <w:kern w:val="2"/>
                <w:sz w:val="22"/>
                <w:szCs w:val="22"/>
                <w:u w:val="none"/>
                <w:lang w:val="en-US" w:eastAsia="zh-CN" w:bidi="ar-SA"/>
              </w:rPr>
            </w:pPr>
            <w:r>
              <w:rPr>
                <w:rFonts w:hint="eastAsia" w:ascii="等线" w:hAnsi="等线" w:eastAsia="等线" w:cs="等线"/>
                <w:b w:val="0"/>
                <w:bCs w:val="0"/>
                <w:i w:val="0"/>
                <w:iCs w:val="0"/>
                <w:color w:val="auto"/>
                <w:kern w:val="2"/>
                <w:sz w:val="22"/>
                <w:szCs w:val="22"/>
                <w:u w:val="none"/>
                <w:lang w:val="en-US" w:eastAsia="zh-CN" w:bidi="ar-SA"/>
              </w:rPr>
              <w:t>人力资源管理、电子商务</w:t>
            </w:r>
          </w:p>
          <w:p>
            <w:pPr>
              <w:keepNext w:val="0"/>
              <w:keepLines w:val="0"/>
              <w:widowControl/>
              <w:suppressLineNumbers w:val="0"/>
              <w:spacing w:line="360" w:lineRule="auto"/>
              <w:jc w:val="center"/>
              <w:textAlignment w:val="center"/>
              <w:rPr>
                <w:rFonts w:hint="eastAsia" w:ascii="等线" w:hAnsi="等线" w:eastAsia="等线" w:cs="等线"/>
                <w:b w:val="0"/>
                <w:bCs w:val="0"/>
                <w:i w:val="0"/>
                <w:iCs w:val="0"/>
                <w:color w:val="auto"/>
                <w:kern w:val="2"/>
                <w:sz w:val="24"/>
                <w:szCs w:val="24"/>
                <w:u w:val="none"/>
                <w:lang w:val="en-US" w:eastAsia="zh-CN" w:bidi="ar-SA"/>
              </w:rPr>
            </w:pPr>
            <w:r>
              <w:rPr>
                <w:rFonts w:hint="eastAsia" w:ascii="等线" w:hAnsi="等线" w:eastAsia="等线" w:cs="等线"/>
                <w:b w:val="0"/>
                <w:bCs w:val="0"/>
                <w:i w:val="0"/>
                <w:iCs w:val="0"/>
                <w:color w:val="auto"/>
                <w:kern w:val="2"/>
                <w:sz w:val="22"/>
                <w:szCs w:val="22"/>
                <w:u w:val="none"/>
                <w:lang w:val="en-US" w:eastAsia="zh-CN" w:bidi="ar-SA"/>
              </w:rPr>
              <w:t>大数据与会计、酒店管理与数字化运营</w:t>
            </w:r>
          </w:p>
        </w:tc>
        <w:tc>
          <w:tcPr>
            <w:tcW w:w="1538"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2100元/年</w:t>
            </w:r>
          </w:p>
        </w:tc>
        <w:tc>
          <w:tcPr>
            <w:tcW w:w="1034" w:type="dxa"/>
            <w:vMerge w:val="restart"/>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color w:val="auto"/>
                <w:sz w:val="22"/>
                <w:szCs w:val="22"/>
                <w:vertAlign w:val="baseline"/>
                <w:lang w:val="en-US" w:eastAsia="zh-CN"/>
              </w:rPr>
              <w:t>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4" w:hRule="atLeast"/>
          <w:jc w:val="center"/>
        </w:trPr>
        <w:tc>
          <w:tcPr>
            <w:tcW w:w="1093" w:type="dxa"/>
            <w:vMerge w:val="continue"/>
            <w:tcBorders>
              <w:tl2br w:val="nil"/>
              <w:tr2bl w:val="nil"/>
            </w:tcBorders>
            <w:shd w:val="clear" w:color="auto" w:fill="auto"/>
            <w:vAlign w:val="center"/>
          </w:tcPr>
          <w:p>
            <w:pPr>
              <w:spacing w:line="360" w:lineRule="auto"/>
              <w:jc w:val="center"/>
              <w:rPr>
                <w:rFonts w:hint="eastAsia" w:ascii="等线" w:hAnsi="等线" w:eastAsia="等线" w:cs="等线"/>
                <w:b/>
                <w:bCs/>
                <w:color w:val="auto"/>
                <w:sz w:val="24"/>
                <w:szCs w:val="24"/>
                <w:vertAlign w:val="baseline"/>
                <w:lang w:val="en-US" w:eastAsia="zh-CN"/>
              </w:rPr>
            </w:pPr>
          </w:p>
        </w:tc>
        <w:tc>
          <w:tcPr>
            <w:tcW w:w="1179"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理工类</w:t>
            </w:r>
          </w:p>
        </w:tc>
        <w:tc>
          <w:tcPr>
            <w:tcW w:w="4740"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林业技术、园林技术</w:t>
            </w:r>
          </w:p>
          <w:p>
            <w:pPr>
              <w:spacing w:line="360" w:lineRule="auto"/>
              <w:jc w:val="center"/>
              <w:rPr>
                <w:rFonts w:hint="eastAsia" w:ascii="等线" w:hAnsi="等线" w:eastAsia="等线" w:cs="等线"/>
                <w:b w:val="0"/>
                <w:bCs w:val="0"/>
                <w:color w:val="auto"/>
                <w:sz w:val="24"/>
                <w:szCs w:val="24"/>
                <w:vertAlign w:val="baseline"/>
                <w:lang w:val="en-US" w:eastAsia="zh-CN"/>
              </w:rPr>
            </w:pPr>
            <w:r>
              <w:rPr>
                <w:rFonts w:hint="eastAsia" w:ascii="等线" w:hAnsi="等线" w:eastAsia="等线" w:cs="等线"/>
                <w:b w:val="0"/>
                <w:bCs w:val="0"/>
                <w:color w:val="auto"/>
                <w:sz w:val="22"/>
                <w:szCs w:val="22"/>
                <w:vertAlign w:val="baseline"/>
                <w:lang w:val="en-US" w:eastAsia="zh-CN"/>
              </w:rPr>
              <w:t>建筑工程技术、建设工程管理</w:t>
            </w:r>
          </w:p>
        </w:tc>
        <w:tc>
          <w:tcPr>
            <w:tcW w:w="1538"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2200元/年</w:t>
            </w:r>
          </w:p>
        </w:tc>
        <w:tc>
          <w:tcPr>
            <w:tcW w:w="1034" w:type="dxa"/>
            <w:vMerge w:val="continue"/>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4" w:hRule="atLeast"/>
          <w:jc w:val="center"/>
        </w:trPr>
        <w:tc>
          <w:tcPr>
            <w:tcW w:w="1093" w:type="dxa"/>
            <w:vMerge w:val="restart"/>
            <w:tcBorders>
              <w:tl2br w:val="nil"/>
              <w:tr2bl w:val="nil"/>
            </w:tcBorders>
            <w:shd w:val="clear" w:color="auto" w:fill="auto"/>
            <w:vAlign w:val="center"/>
          </w:tcPr>
          <w:p>
            <w:pPr>
              <w:spacing w:line="360" w:lineRule="auto"/>
              <w:jc w:val="center"/>
              <w:rPr>
                <w:rFonts w:hint="eastAsia" w:ascii="等线" w:hAnsi="等线" w:eastAsia="等线" w:cs="等线"/>
                <w:b/>
                <w:bCs/>
                <w:color w:val="auto"/>
                <w:sz w:val="24"/>
                <w:szCs w:val="24"/>
                <w:vertAlign w:val="baseline"/>
                <w:lang w:val="en-US" w:eastAsia="zh-CN"/>
              </w:rPr>
            </w:pPr>
            <w:r>
              <w:rPr>
                <w:rFonts w:hint="eastAsia" w:ascii="等线" w:hAnsi="等线" w:eastAsia="等线" w:cs="等线"/>
                <w:b/>
                <w:bCs/>
                <w:color w:val="auto"/>
                <w:sz w:val="24"/>
                <w:szCs w:val="24"/>
                <w:vertAlign w:val="baseline"/>
                <w:lang w:val="en-US" w:eastAsia="zh-CN"/>
              </w:rPr>
              <w:t>专升本</w:t>
            </w:r>
          </w:p>
        </w:tc>
        <w:tc>
          <w:tcPr>
            <w:tcW w:w="1179"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经管类</w:t>
            </w:r>
          </w:p>
        </w:tc>
        <w:tc>
          <w:tcPr>
            <w:tcW w:w="4740"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工程管理、物流管理</w:t>
            </w:r>
          </w:p>
          <w:p>
            <w:pPr>
              <w:spacing w:line="360" w:lineRule="auto"/>
              <w:jc w:val="center"/>
              <w:rPr>
                <w:rFonts w:hint="eastAsia" w:ascii="等线" w:hAnsi="等线" w:eastAsia="等线" w:cs="等线"/>
                <w:b w:val="0"/>
                <w:bCs w:val="0"/>
                <w:color w:val="auto"/>
                <w:kern w:val="2"/>
                <w:sz w:val="24"/>
                <w:szCs w:val="24"/>
                <w:vertAlign w:val="baseline"/>
                <w:lang w:val="en-US" w:eastAsia="zh-CN" w:bidi="ar-SA"/>
              </w:rPr>
            </w:pPr>
            <w:r>
              <w:rPr>
                <w:rFonts w:hint="eastAsia" w:ascii="等线" w:hAnsi="等线" w:eastAsia="等线" w:cs="等线"/>
                <w:b w:val="0"/>
                <w:bCs w:val="0"/>
                <w:color w:val="auto"/>
                <w:sz w:val="22"/>
                <w:szCs w:val="22"/>
                <w:vertAlign w:val="baseline"/>
                <w:lang w:val="en-US" w:eastAsia="zh-CN"/>
              </w:rPr>
              <w:t>市场营销、人力资源管理</w:t>
            </w:r>
          </w:p>
        </w:tc>
        <w:tc>
          <w:tcPr>
            <w:tcW w:w="1538"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2100元/年</w:t>
            </w:r>
          </w:p>
        </w:tc>
        <w:tc>
          <w:tcPr>
            <w:tcW w:w="1034" w:type="dxa"/>
            <w:vMerge w:val="restart"/>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color w:val="auto"/>
                <w:sz w:val="22"/>
                <w:szCs w:val="22"/>
                <w:vertAlign w:val="baseline"/>
                <w:lang w:val="en-US" w:eastAsia="zh-CN"/>
              </w:rPr>
              <w:t>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4" w:hRule="atLeast"/>
          <w:jc w:val="center"/>
        </w:trPr>
        <w:tc>
          <w:tcPr>
            <w:tcW w:w="1093" w:type="dxa"/>
            <w:vMerge w:val="continue"/>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sz w:val="24"/>
                <w:szCs w:val="24"/>
                <w:vertAlign w:val="baseline"/>
                <w:lang w:val="en-US" w:eastAsia="zh-CN"/>
              </w:rPr>
            </w:pPr>
          </w:p>
        </w:tc>
        <w:tc>
          <w:tcPr>
            <w:tcW w:w="1179"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理工类</w:t>
            </w:r>
          </w:p>
        </w:tc>
        <w:tc>
          <w:tcPr>
            <w:tcW w:w="4740"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建筑学、机械设计制造及其自动化</w:t>
            </w:r>
          </w:p>
          <w:p>
            <w:pPr>
              <w:spacing w:line="360" w:lineRule="auto"/>
              <w:jc w:val="center"/>
              <w:rPr>
                <w:rFonts w:hint="eastAsia" w:ascii="等线" w:hAnsi="等线" w:eastAsia="等线" w:cs="等线"/>
                <w:b w:val="0"/>
                <w:bCs w:val="0"/>
                <w:color w:val="auto"/>
                <w:sz w:val="24"/>
                <w:szCs w:val="24"/>
                <w:vertAlign w:val="baseline"/>
                <w:lang w:val="en-US" w:eastAsia="zh-CN"/>
              </w:rPr>
            </w:pPr>
            <w:r>
              <w:rPr>
                <w:rFonts w:hint="eastAsia" w:ascii="等线" w:hAnsi="等线" w:eastAsia="等线" w:cs="等线"/>
                <w:b w:val="0"/>
                <w:bCs w:val="0"/>
                <w:color w:val="auto"/>
                <w:sz w:val="22"/>
                <w:szCs w:val="22"/>
                <w:vertAlign w:val="baseline"/>
                <w:lang w:val="en-US" w:eastAsia="zh-CN"/>
              </w:rPr>
              <w:t>电子信息工程、自动化、软件工程、土木工程</w:t>
            </w:r>
          </w:p>
        </w:tc>
        <w:tc>
          <w:tcPr>
            <w:tcW w:w="1538"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2200元/年</w:t>
            </w:r>
          </w:p>
        </w:tc>
        <w:tc>
          <w:tcPr>
            <w:tcW w:w="1034" w:type="dxa"/>
            <w:vMerge w:val="continue"/>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1093" w:type="dxa"/>
            <w:vMerge w:val="continue"/>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sz w:val="24"/>
                <w:szCs w:val="24"/>
                <w:vertAlign w:val="baseline"/>
                <w:lang w:val="en-US" w:eastAsia="zh-CN"/>
              </w:rPr>
            </w:pPr>
          </w:p>
        </w:tc>
        <w:tc>
          <w:tcPr>
            <w:tcW w:w="1179"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农学类</w:t>
            </w:r>
          </w:p>
        </w:tc>
        <w:tc>
          <w:tcPr>
            <w:tcW w:w="4740"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林学、园林</w:t>
            </w:r>
          </w:p>
        </w:tc>
        <w:tc>
          <w:tcPr>
            <w:tcW w:w="1538" w:type="dxa"/>
            <w:tcBorders>
              <w:tl2br w:val="nil"/>
              <w:tr2bl w:val="nil"/>
            </w:tcBorders>
            <w:shd w:val="clear" w:color="auto" w:fill="auto"/>
            <w:vAlign w:val="center"/>
          </w:tcPr>
          <w:p>
            <w:pPr>
              <w:spacing w:line="360" w:lineRule="auto"/>
              <w:jc w:val="center"/>
              <w:rPr>
                <w:rFonts w:hint="eastAsia" w:ascii="等线" w:hAnsi="等线" w:eastAsia="等线" w:cs="等线"/>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2200元/年</w:t>
            </w:r>
          </w:p>
        </w:tc>
        <w:tc>
          <w:tcPr>
            <w:tcW w:w="1034" w:type="dxa"/>
            <w:vMerge w:val="continue"/>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sz w:val="24"/>
                <w:szCs w:val="24"/>
                <w:vertAlign w:val="baseline"/>
                <w:lang w:val="en-US" w:eastAsia="zh-CN"/>
              </w:rPr>
            </w:pPr>
          </w:p>
        </w:tc>
      </w:tr>
    </w:tbl>
    <w:p>
      <w:pPr>
        <w:spacing w:line="240" w:lineRule="auto"/>
        <w:jc w:val="center"/>
        <w:rPr>
          <w:rFonts w:hint="eastAsia" w:eastAsia="宋体"/>
          <w:lang w:eastAsia="zh-CN"/>
        </w:rPr>
      </w:pPr>
    </w:p>
    <w:p>
      <w:pPr>
        <w:tabs>
          <w:tab w:val="left" w:pos="4723"/>
        </w:tabs>
        <w:bidi w:val="0"/>
        <w:jc w:val="center"/>
        <w:rPr>
          <w:rFonts w:hint="eastAsia"/>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4815"/>
        </w:tabs>
        <w:bidi w:val="0"/>
        <w:jc w:val="left"/>
        <w:rPr>
          <w:rFonts w:hint="eastAsia"/>
          <w:lang w:val="en-US" w:eastAsia="zh-CN"/>
        </w:rPr>
      </w:pPr>
      <w:r>
        <w:rPr>
          <w:rFonts w:hint="eastAsia"/>
          <w:lang w:val="en-US" w:eastAsia="zh-CN"/>
        </w:rPr>
        <w:tab/>
      </w:r>
    </w:p>
    <w:p>
      <w:pPr>
        <w:tabs>
          <w:tab w:val="left" w:pos="4815"/>
        </w:tabs>
        <w:bidi w:val="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3895725" cy="895350"/>
            <wp:effectExtent l="0" t="0" r="9525" b="0"/>
            <wp:docPr id="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IMG_256"/>
                    <pic:cNvPicPr>
                      <a:picLocks noChangeAspect="1"/>
                    </pic:cNvPicPr>
                  </pic:nvPicPr>
                  <pic:blipFill>
                    <a:blip r:embed="rId9"/>
                    <a:stretch>
                      <a:fillRect/>
                    </a:stretch>
                  </pic:blipFill>
                  <pic:spPr>
                    <a:xfrm>
                      <a:off x="0" y="0"/>
                      <a:ext cx="3895725" cy="895350"/>
                    </a:xfrm>
                    <a:prstGeom prst="rect">
                      <a:avLst/>
                    </a:prstGeom>
                    <a:noFill/>
                    <a:ln w="9525">
                      <a:noFill/>
                    </a:ln>
                  </pic:spPr>
                </pic:pic>
              </a:graphicData>
            </a:graphic>
          </wp:inline>
        </w:drawing>
      </w:r>
    </w:p>
    <w:p>
      <w:pPr>
        <w:tabs>
          <w:tab w:val="left" w:pos="4815"/>
        </w:tabs>
        <w:bidi w:val="0"/>
        <w:jc w:val="center"/>
        <w:rPr>
          <w:rFonts w:ascii="宋体" w:hAnsi="宋体" w:eastAsia="宋体" w:cs="宋体"/>
          <w:sz w:val="24"/>
          <w:szCs w:val="24"/>
        </w:rPr>
      </w:pPr>
    </w:p>
    <w:p>
      <w:pPr>
        <w:ind w:firstLine="480" w:firstLineChars="200"/>
        <w:rPr>
          <w:rFonts w:hint="eastAsia" w:ascii="等线" w:hAnsi="等线" w:eastAsia="等线" w:cs="等线"/>
          <w:sz w:val="24"/>
          <w:szCs w:val="24"/>
          <w:vertAlign w:val="baseline"/>
          <w:lang w:val="en-US" w:eastAsia="zh-CN"/>
        </w:rPr>
      </w:pPr>
      <w:r>
        <w:rPr>
          <w:rFonts w:hint="eastAsia" w:ascii="等线" w:hAnsi="等线" w:eastAsia="等线" w:cs="等线"/>
          <w:b/>
          <w:bCs/>
          <w:sz w:val="24"/>
          <w:szCs w:val="24"/>
          <w:vertAlign w:val="baseline"/>
          <w:lang w:val="en-US" w:eastAsia="zh-CN"/>
        </w:rPr>
        <w:t>湖南民族职业学院</w:t>
      </w:r>
      <w:r>
        <w:rPr>
          <w:rFonts w:hint="eastAsia" w:ascii="等线" w:hAnsi="等线" w:eastAsia="等线" w:cs="等线"/>
          <w:sz w:val="24"/>
          <w:szCs w:val="24"/>
          <w:vertAlign w:val="baseline"/>
          <w:lang w:val="en-US" w:eastAsia="zh-CN"/>
        </w:rPr>
        <w:t>位于湖南省岳阳市，是一所全日制公办高等职业院校。学院创建于1952 年,占地面积800多亩，建筑面积近20万平方米，资产近7亿。现有教职工900多人，其中正副教授130 余人，硕士研究生200余人，“双师型”教师200余人。开办 26个专业，其中小学教育、学前教育、教育文化创意3个专业群被湖南省教育厅立项为省级一流特色专业群予以重点建设。学前教育、艺术设计两个专业群被湖南省教育厅立项为湖南省“楚怡”高水平高职专业群(A档)予以重点建设。学校是湖南省早期教育联盟、湖南省智慧教育联盟、湖南省小学教育联盟牵头单位和理事长单位。学校现有学生15000 余人。</w:t>
      </w:r>
    </w:p>
    <w:tbl>
      <w:tblPr>
        <w:tblStyle w:val="7"/>
        <w:tblpPr w:leftFromText="180" w:rightFromText="180" w:vertAnchor="text" w:horzAnchor="page" w:tblpX="1276" w:tblpY="735"/>
        <w:tblOverlap w:val="never"/>
        <w:tblW w:w="10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52"/>
        <w:gridCol w:w="1426"/>
        <w:gridCol w:w="5001"/>
        <w:gridCol w:w="1670"/>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2" w:type="dxa"/>
            <w:tcBorders>
              <w:tl2br w:val="nil"/>
              <w:tr2bl w:val="nil"/>
            </w:tcBorders>
            <w:shd w:val="clear" w:color="auto" w:fill="auto"/>
            <w:vAlign w:val="center"/>
          </w:tcPr>
          <w:p>
            <w:pPr>
              <w:spacing w:line="360" w:lineRule="auto"/>
              <w:ind w:left="241" w:hanging="240" w:hangingChars="100"/>
              <w:jc w:val="center"/>
              <w:rPr>
                <w:rFonts w:hint="eastAsia" w:ascii="等线" w:hAnsi="等线" w:eastAsia="等线" w:cs="等线"/>
                <w:b/>
                <w:bCs/>
                <w:color w:val="auto"/>
                <w:kern w:val="2"/>
                <w:sz w:val="24"/>
                <w:szCs w:val="24"/>
                <w:vertAlign w:val="baseline"/>
                <w:lang w:val="en-US" w:eastAsia="zh-CN" w:bidi="ar-SA"/>
              </w:rPr>
            </w:pPr>
            <w:bookmarkStart w:id="0" w:name="_GoBack"/>
            <w:r>
              <w:rPr>
                <w:rFonts w:hint="eastAsia" w:ascii="等线" w:hAnsi="等线" w:eastAsia="等线" w:cs="等线"/>
                <w:b/>
                <w:bCs/>
                <w:color w:val="auto"/>
                <w:kern w:val="2"/>
                <w:sz w:val="24"/>
                <w:szCs w:val="24"/>
                <w:vertAlign w:val="baseline"/>
                <w:lang w:val="en-US" w:eastAsia="zh-CN" w:bidi="ar-SA"/>
              </w:rPr>
              <w:t>层次</w:t>
            </w:r>
          </w:p>
        </w:tc>
        <w:tc>
          <w:tcPr>
            <w:tcW w:w="1426" w:type="dxa"/>
            <w:tcBorders>
              <w:tl2br w:val="nil"/>
              <w:tr2bl w:val="nil"/>
            </w:tcBorders>
            <w:shd w:val="clear" w:color="auto" w:fill="auto"/>
            <w:vAlign w:val="center"/>
          </w:tcPr>
          <w:p>
            <w:pPr>
              <w:spacing w:line="360" w:lineRule="auto"/>
              <w:jc w:val="center"/>
              <w:rPr>
                <w:rFonts w:hint="eastAsia" w:ascii="等线" w:hAnsi="等线" w:eastAsia="等线" w:cs="等线"/>
                <w:b/>
                <w:bCs/>
                <w:color w:val="auto"/>
                <w:kern w:val="2"/>
                <w:sz w:val="24"/>
                <w:szCs w:val="24"/>
                <w:vertAlign w:val="baseline"/>
                <w:lang w:val="en-US" w:eastAsia="zh-CN" w:bidi="ar-SA"/>
              </w:rPr>
            </w:pPr>
            <w:r>
              <w:rPr>
                <w:rFonts w:hint="eastAsia" w:ascii="等线" w:hAnsi="等线" w:eastAsia="等线" w:cs="等线"/>
                <w:b/>
                <w:bCs/>
                <w:color w:val="auto"/>
                <w:sz w:val="24"/>
                <w:szCs w:val="24"/>
                <w:vertAlign w:val="baseline"/>
                <w:lang w:val="en-US" w:eastAsia="zh-CN"/>
              </w:rPr>
              <w:t>类别</w:t>
            </w:r>
          </w:p>
        </w:tc>
        <w:tc>
          <w:tcPr>
            <w:tcW w:w="5001" w:type="dxa"/>
            <w:tcBorders>
              <w:tl2br w:val="nil"/>
              <w:tr2bl w:val="nil"/>
            </w:tcBorders>
            <w:shd w:val="clear" w:color="auto" w:fill="auto"/>
            <w:vAlign w:val="center"/>
          </w:tcPr>
          <w:p>
            <w:pPr>
              <w:spacing w:line="360" w:lineRule="auto"/>
              <w:jc w:val="center"/>
              <w:rPr>
                <w:rFonts w:hint="eastAsia" w:ascii="等线" w:hAnsi="等线" w:eastAsia="等线" w:cs="等线"/>
                <w:b/>
                <w:bCs/>
                <w:color w:val="auto"/>
                <w:kern w:val="2"/>
                <w:sz w:val="24"/>
                <w:szCs w:val="24"/>
                <w:vertAlign w:val="baseline"/>
                <w:lang w:val="en-US" w:eastAsia="zh-CN" w:bidi="ar-SA"/>
              </w:rPr>
            </w:pPr>
            <w:r>
              <w:rPr>
                <w:rFonts w:hint="eastAsia" w:ascii="等线" w:hAnsi="等线" w:eastAsia="等线" w:cs="等线"/>
                <w:b/>
                <w:bCs/>
                <w:color w:val="auto"/>
                <w:sz w:val="24"/>
                <w:szCs w:val="24"/>
                <w:vertAlign w:val="baseline"/>
                <w:lang w:val="en-US" w:eastAsia="zh-CN"/>
              </w:rPr>
              <w:t>专业</w:t>
            </w:r>
          </w:p>
        </w:tc>
        <w:tc>
          <w:tcPr>
            <w:tcW w:w="1670" w:type="dxa"/>
            <w:tcBorders>
              <w:tl2br w:val="nil"/>
              <w:tr2bl w:val="nil"/>
            </w:tcBorders>
            <w:shd w:val="clear" w:color="auto" w:fill="auto"/>
            <w:vAlign w:val="center"/>
          </w:tcPr>
          <w:p>
            <w:pPr>
              <w:spacing w:line="360" w:lineRule="auto"/>
              <w:jc w:val="center"/>
              <w:rPr>
                <w:rFonts w:hint="eastAsia" w:ascii="等线" w:hAnsi="等线" w:eastAsia="等线" w:cs="等线"/>
                <w:b/>
                <w:bCs/>
                <w:color w:val="auto"/>
                <w:kern w:val="2"/>
                <w:sz w:val="24"/>
                <w:szCs w:val="24"/>
                <w:vertAlign w:val="baseline"/>
                <w:lang w:val="en-US" w:eastAsia="zh-CN" w:bidi="ar-SA"/>
              </w:rPr>
            </w:pPr>
            <w:r>
              <w:rPr>
                <w:rFonts w:hint="eastAsia" w:ascii="等线" w:hAnsi="等线" w:eastAsia="等线" w:cs="等线"/>
                <w:b/>
                <w:bCs/>
                <w:color w:val="auto"/>
                <w:sz w:val="24"/>
                <w:szCs w:val="24"/>
                <w:vertAlign w:val="baseline"/>
                <w:lang w:val="en-US" w:eastAsia="zh-CN"/>
              </w:rPr>
              <w:t>学费标准</w:t>
            </w:r>
          </w:p>
        </w:tc>
        <w:tc>
          <w:tcPr>
            <w:tcW w:w="855" w:type="dxa"/>
            <w:tcBorders>
              <w:tl2br w:val="nil"/>
              <w:tr2bl w:val="nil"/>
            </w:tcBorders>
            <w:shd w:val="clear" w:color="auto" w:fill="auto"/>
            <w:vAlign w:val="center"/>
          </w:tcPr>
          <w:p>
            <w:pPr>
              <w:spacing w:line="360" w:lineRule="auto"/>
              <w:jc w:val="center"/>
              <w:rPr>
                <w:rFonts w:hint="eastAsia" w:ascii="等线" w:hAnsi="等线" w:eastAsia="等线" w:cs="等线"/>
                <w:b/>
                <w:bCs/>
                <w:color w:val="auto"/>
                <w:sz w:val="24"/>
                <w:szCs w:val="24"/>
                <w:vertAlign w:val="baseline"/>
                <w:lang w:val="en-US" w:eastAsia="zh-CN"/>
              </w:rPr>
            </w:pPr>
            <w:r>
              <w:rPr>
                <w:rFonts w:hint="eastAsia" w:ascii="等线" w:hAnsi="等线" w:eastAsia="等线" w:cs="等线"/>
                <w:b/>
                <w:bCs/>
                <w:color w:val="auto"/>
                <w:sz w:val="24"/>
                <w:szCs w:val="24"/>
                <w:vertAlign w:val="baseline"/>
                <w:lang w:val="en-US" w:eastAsia="zh-CN"/>
              </w:rPr>
              <w:t>学制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1052" w:type="dxa"/>
            <w:vMerge w:val="restart"/>
            <w:tcBorders>
              <w:tl2br w:val="nil"/>
              <w:tr2bl w:val="nil"/>
            </w:tcBorders>
            <w:shd w:val="clear" w:color="auto" w:fill="auto"/>
            <w:vAlign w:val="center"/>
          </w:tcPr>
          <w:p>
            <w:pPr>
              <w:spacing w:line="360" w:lineRule="auto"/>
              <w:jc w:val="center"/>
              <w:rPr>
                <w:rFonts w:hint="default" w:ascii="等线" w:hAnsi="等线" w:eastAsia="等线" w:cs="等线"/>
                <w:b/>
                <w:bCs/>
                <w:color w:val="auto"/>
                <w:sz w:val="24"/>
                <w:szCs w:val="24"/>
                <w:vertAlign w:val="baseline"/>
                <w:lang w:val="en-US" w:eastAsia="zh-CN"/>
              </w:rPr>
            </w:pPr>
            <w:r>
              <w:rPr>
                <w:rFonts w:hint="eastAsia" w:ascii="等线" w:hAnsi="等线" w:eastAsia="等线" w:cs="等线"/>
                <w:b/>
                <w:bCs/>
                <w:color w:val="auto"/>
                <w:sz w:val="24"/>
                <w:szCs w:val="24"/>
                <w:vertAlign w:val="baseline"/>
                <w:lang w:val="en-US" w:eastAsia="zh-CN"/>
              </w:rPr>
              <w:t>高起专</w:t>
            </w:r>
          </w:p>
        </w:tc>
        <w:tc>
          <w:tcPr>
            <w:tcW w:w="1426"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理工类</w:t>
            </w:r>
          </w:p>
        </w:tc>
        <w:tc>
          <w:tcPr>
            <w:tcW w:w="5001"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建设工程管理、移动应用开发、</w:t>
            </w:r>
          </w:p>
          <w:p>
            <w:pPr>
              <w:spacing w:line="36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市场营销、人工智能技术应用、智能物流技术</w:t>
            </w:r>
          </w:p>
          <w:p>
            <w:pPr>
              <w:spacing w:line="360" w:lineRule="auto"/>
              <w:jc w:val="center"/>
              <w:rPr>
                <w:rFonts w:hint="default"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现代通信技术、跨境电子商务、软件技术、大数据与会计</w:t>
            </w:r>
          </w:p>
        </w:tc>
        <w:tc>
          <w:tcPr>
            <w:tcW w:w="1670"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kern w:val="2"/>
                <w:sz w:val="22"/>
                <w:szCs w:val="22"/>
                <w:vertAlign w:val="baseline"/>
                <w:lang w:val="en-US" w:eastAsia="zh-CN" w:bidi="ar-SA"/>
              </w:rPr>
            </w:pPr>
            <w:r>
              <w:rPr>
                <w:rFonts w:hint="eastAsia" w:ascii="等线" w:hAnsi="等线" w:eastAsia="等线" w:cs="等线"/>
                <w:b w:val="0"/>
                <w:bCs w:val="0"/>
                <w:color w:val="auto"/>
                <w:sz w:val="22"/>
                <w:szCs w:val="22"/>
                <w:vertAlign w:val="baseline"/>
                <w:lang w:val="en-US" w:eastAsia="zh-CN"/>
              </w:rPr>
              <w:t>2200元/年</w:t>
            </w:r>
          </w:p>
        </w:tc>
        <w:tc>
          <w:tcPr>
            <w:tcW w:w="855" w:type="dxa"/>
            <w:tcBorders>
              <w:tl2br w:val="nil"/>
              <w:tr2bl w:val="nil"/>
            </w:tcBorders>
            <w:shd w:val="clear" w:color="auto" w:fill="auto"/>
            <w:vAlign w:val="center"/>
          </w:tcPr>
          <w:p>
            <w:pPr>
              <w:spacing w:line="360" w:lineRule="auto"/>
              <w:jc w:val="center"/>
              <w:rPr>
                <w:rFonts w:hint="default"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1052" w:type="dxa"/>
            <w:vMerge w:val="continue"/>
            <w:tcBorders>
              <w:tl2br w:val="nil"/>
              <w:tr2bl w:val="nil"/>
            </w:tcBorders>
            <w:shd w:val="clear" w:color="auto" w:fill="auto"/>
            <w:vAlign w:val="center"/>
          </w:tcPr>
          <w:p>
            <w:pPr>
              <w:spacing w:line="360" w:lineRule="auto"/>
              <w:jc w:val="center"/>
              <w:rPr>
                <w:rFonts w:hint="eastAsia" w:ascii="等线" w:hAnsi="等线" w:eastAsia="等线" w:cs="等线"/>
                <w:b/>
                <w:bCs/>
                <w:color w:val="auto"/>
                <w:sz w:val="24"/>
                <w:szCs w:val="24"/>
                <w:vertAlign w:val="baseline"/>
                <w:lang w:val="en-US" w:eastAsia="zh-CN"/>
              </w:rPr>
            </w:pPr>
          </w:p>
        </w:tc>
        <w:tc>
          <w:tcPr>
            <w:tcW w:w="1426" w:type="dxa"/>
            <w:tcBorders>
              <w:tl2br w:val="nil"/>
              <w:tr2bl w:val="nil"/>
            </w:tcBorders>
            <w:shd w:val="clear" w:color="auto" w:fill="auto"/>
            <w:vAlign w:val="center"/>
          </w:tcPr>
          <w:p>
            <w:pPr>
              <w:spacing w:line="360" w:lineRule="auto"/>
              <w:jc w:val="center"/>
              <w:rPr>
                <w:rFonts w:hint="default"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文史类</w:t>
            </w:r>
          </w:p>
        </w:tc>
        <w:tc>
          <w:tcPr>
            <w:tcW w:w="5001" w:type="dxa"/>
            <w:tcBorders>
              <w:tl2br w:val="nil"/>
              <w:tr2bl w:val="nil"/>
            </w:tcBorders>
            <w:shd w:val="clear" w:color="auto" w:fill="auto"/>
            <w:vAlign w:val="center"/>
          </w:tcPr>
          <w:p>
            <w:pPr>
              <w:spacing w:line="360" w:lineRule="auto"/>
              <w:jc w:val="center"/>
              <w:rPr>
                <w:rFonts w:hint="default"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学前教育、小学教育、旅游管理</w:t>
            </w:r>
          </w:p>
        </w:tc>
        <w:tc>
          <w:tcPr>
            <w:tcW w:w="1670" w:type="dxa"/>
            <w:tcBorders>
              <w:tl2br w:val="nil"/>
              <w:tr2bl w:val="nil"/>
            </w:tcBorders>
            <w:shd w:val="clear" w:color="auto" w:fill="auto"/>
            <w:vAlign w:val="center"/>
          </w:tcPr>
          <w:p>
            <w:pPr>
              <w:spacing w:line="360" w:lineRule="auto"/>
              <w:jc w:val="center"/>
              <w:rPr>
                <w:rFonts w:hint="default"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2100元/年</w:t>
            </w:r>
          </w:p>
        </w:tc>
        <w:tc>
          <w:tcPr>
            <w:tcW w:w="855"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1052" w:type="dxa"/>
            <w:vMerge w:val="continue"/>
            <w:tcBorders>
              <w:tl2br w:val="nil"/>
              <w:tr2bl w:val="nil"/>
            </w:tcBorders>
            <w:shd w:val="clear" w:color="auto" w:fill="auto"/>
            <w:vAlign w:val="center"/>
          </w:tcPr>
          <w:p>
            <w:pPr>
              <w:spacing w:line="360" w:lineRule="auto"/>
              <w:jc w:val="center"/>
              <w:rPr>
                <w:rFonts w:hint="eastAsia" w:ascii="等线" w:hAnsi="等线" w:eastAsia="等线" w:cs="等线"/>
                <w:b/>
                <w:bCs/>
                <w:color w:val="auto"/>
                <w:sz w:val="24"/>
                <w:szCs w:val="24"/>
                <w:vertAlign w:val="baseline"/>
                <w:lang w:val="en-US" w:eastAsia="zh-CN"/>
              </w:rPr>
            </w:pPr>
          </w:p>
        </w:tc>
        <w:tc>
          <w:tcPr>
            <w:tcW w:w="1426" w:type="dxa"/>
            <w:tcBorders>
              <w:tl2br w:val="nil"/>
              <w:tr2bl w:val="nil"/>
            </w:tcBorders>
            <w:shd w:val="clear" w:color="auto" w:fill="auto"/>
            <w:vAlign w:val="center"/>
          </w:tcPr>
          <w:p>
            <w:pPr>
              <w:spacing w:line="360" w:lineRule="auto"/>
              <w:jc w:val="center"/>
              <w:rPr>
                <w:rFonts w:hint="default"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艺术（文）</w:t>
            </w:r>
          </w:p>
        </w:tc>
        <w:tc>
          <w:tcPr>
            <w:tcW w:w="5001" w:type="dxa"/>
            <w:tcBorders>
              <w:tl2br w:val="nil"/>
              <w:tr2bl w:val="nil"/>
            </w:tcBorders>
            <w:shd w:val="clear" w:color="auto" w:fill="auto"/>
            <w:vAlign w:val="center"/>
          </w:tcPr>
          <w:p>
            <w:pPr>
              <w:spacing w:line="360" w:lineRule="auto"/>
              <w:jc w:val="center"/>
              <w:rPr>
                <w:rFonts w:hint="default"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艺术设计</w:t>
            </w:r>
          </w:p>
        </w:tc>
        <w:tc>
          <w:tcPr>
            <w:tcW w:w="1670" w:type="dxa"/>
            <w:tcBorders>
              <w:tl2br w:val="nil"/>
              <w:tr2bl w:val="nil"/>
            </w:tcBorders>
            <w:shd w:val="clear" w:color="auto" w:fill="auto"/>
            <w:vAlign w:val="center"/>
          </w:tcPr>
          <w:p>
            <w:pPr>
              <w:spacing w:line="360" w:lineRule="auto"/>
              <w:jc w:val="center"/>
              <w:rPr>
                <w:rFonts w:hint="default"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3800元/年</w:t>
            </w:r>
          </w:p>
        </w:tc>
        <w:tc>
          <w:tcPr>
            <w:tcW w:w="855" w:type="dxa"/>
            <w:tcBorders>
              <w:tl2br w:val="nil"/>
              <w:tr2bl w:val="nil"/>
            </w:tcBorders>
            <w:shd w:val="clear" w:color="auto" w:fill="auto"/>
            <w:vAlign w:val="center"/>
          </w:tcPr>
          <w:p>
            <w:pPr>
              <w:spacing w:line="360" w:lineRule="auto"/>
              <w:jc w:val="center"/>
              <w:rPr>
                <w:rFonts w:hint="eastAsia" w:ascii="等线" w:hAnsi="等线" w:eastAsia="等线" w:cs="等线"/>
                <w:b w:val="0"/>
                <w:bCs w:val="0"/>
                <w:color w:val="auto"/>
                <w:sz w:val="22"/>
                <w:szCs w:val="22"/>
                <w:vertAlign w:val="baseline"/>
                <w:lang w:val="en-US" w:eastAsia="zh-CN"/>
              </w:rPr>
            </w:pPr>
            <w:r>
              <w:rPr>
                <w:rFonts w:hint="eastAsia" w:ascii="等线" w:hAnsi="等线" w:eastAsia="等线" w:cs="等线"/>
                <w:b w:val="0"/>
                <w:bCs w:val="0"/>
                <w:color w:val="auto"/>
                <w:sz w:val="22"/>
                <w:szCs w:val="22"/>
                <w:vertAlign w:val="baseline"/>
                <w:lang w:val="en-US" w:eastAsia="zh-CN"/>
              </w:rPr>
              <w:t>2.5年</w:t>
            </w:r>
          </w:p>
        </w:tc>
      </w:tr>
      <w:bookmarkEnd w:id="0"/>
    </w:tbl>
    <w:p>
      <w:pPr>
        <w:keepNext w:val="0"/>
        <w:keepLines w:val="0"/>
        <w:pageBreakBefore w:val="0"/>
        <w:widowControl w:val="0"/>
        <w:numPr>
          <w:ilvl w:val="0"/>
          <w:numId w:val="0"/>
        </w:numPr>
        <w:kinsoku/>
        <w:wordWrap/>
        <w:overflowPunct/>
        <w:topLinePunct w:val="0"/>
        <w:autoSpaceDE/>
        <w:autoSpaceDN/>
        <w:bidi w:val="0"/>
        <w:adjustRightInd/>
        <w:snapToGrid/>
        <w:spacing w:line="720" w:lineRule="auto"/>
        <w:textAlignment w:val="auto"/>
        <w:outlineLvl w:val="0"/>
        <w:rPr>
          <w:rFonts w:hint="eastAsia"/>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720" w:lineRule="auto"/>
        <w:textAlignment w:val="auto"/>
        <w:outlineLvl w:val="0"/>
        <w:rPr>
          <w:rFonts w:hint="eastAsia" w:ascii="等线" w:hAnsi="等线" w:eastAsia="等线" w:cs="等线"/>
          <w:b/>
          <w:bCs/>
          <w:sz w:val="28"/>
          <w:szCs w:val="28"/>
          <w:lang w:val="en-US" w:eastAsia="zh-CN"/>
        </w:rPr>
      </w:pPr>
      <w:r>
        <w:rPr>
          <w:rFonts w:hint="eastAsia" w:ascii="等线" w:hAnsi="等线" w:eastAsia="等线" w:cs="等线"/>
          <w:b/>
          <w:bCs/>
          <w:sz w:val="28"/>
          <w:szCs w:val="28"/>
          <w:lang w:val="en-US" w:eastAsia="zh-CN"/>
        </w:rPr>
        <w:t>各院校学士学位授予条件（更新于2024年4月）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uto"/>
        <w:ind w:firstLine="480" w:firstLineChars="200"/>
        <w:textAlignment w:val="auto"/>
        <w:outlineLvl w:val="9"/>
        <w:rPr>
          <w:rFonts w:hint="default" w:ascii="等线" w:hAnsi="等线" w:eastAsia="等线" w:cs="等线"/>
          <w:b/>
          <w:bCs/>
          <w:sz w:val="24"/>
          <w:szCs w:val="24"/>
          <w:lang w:val="en-US" w:eastAsia="zh-CN"/>
        </w:rPr>
      </w:pPr>
      <w:r>
        <w:rPr>
          <w:rFonts w:hint="eastAsia" w:ascii="等线" w:hAnsi="等线" w:eastAsia="等线" w:cs="等线"/>
          <w:b/>
          <w:bCs/>
          <w:sz w:val="24"/>
          <w:szCs w:val="24"/>
          <w:lang w:val="en-US" w:eastAsia="zh-CN"/>
        </w:rPr>
        <w:t>（一）湖南师范大学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我校高等学历继续教育本科毕业学生符合下列条件的可申请学士学位证书，对申请授予材料审核通过的毕业生可授予学士学位证书。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1、热爱祖国，拥护中国共产党的领导，拥护社会主义制度，遵纪守法，品行端正。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2、本科毕业生:以毕业证书签发时间为准，两年内申请(一年两次)，过期视为本人放弃，不再予以办理。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3、本科毕业论文(设计)成绩达到中等及中等以上，毕业论文经复审符合学士学位授予条件。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4、学位外语成绩证明:2021年1月1日起，湖南师范大学本科在籍期间内及毕业一年半时间内(以毕业证签发时间为准)通过由湖南师范大学继续教育学院组织的学位外语考试，且成绩合格取得合格证编号(外语专业不能考本专业语种，需要考第二外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（1）自考生满足以下条件之一者可免考由湖南师范大学组织的学位外语考试。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①自考本科在籍期间获得大学英语四级(CET-4)六级(CET-6)成绩及格并拿到成绩单或通过全国公共英语三级(PETS-3)，成绩及格并拿到合格证书(仅限2021年1月1日前获得本科学籍和英语合格证)。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②本科在籍期间或毕业后一年半内参加湖南省考试院举办的学位外语考试，成绩达到60分取得“湘学位”编号(仅限2021年1月1日前获得本科学籍和英语合格证)。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2）成教(函授、业余)生满足以下条件可免考由湖南师范大学组织的学士学位外语考试。成教本科在籍期间(或毕业后一年半内)参加湖南省考试院举办的学位外语考试，成绩达到60分取得“湘学位”编号(仅限2021年1月1日前获得本科学籍和英语合格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5、学业水平测试成绩:2021年1月1日起，通过由湖南师范大学继续教育学院组织的学业水平考试，成绩合格取得合格证编号。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6、有以下情形之一者，不授予学士学位: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（1）违反宪法、法律，构成刑事犯罪的。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（2）在校期间受记过或以上处分，且未解除的。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（3）学校认定的不符合授予学位条件的其他情形。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原文链接：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fldChar w:fldCharType="begin"/>
      </w:r>
      <w:r>
        <w:rPr>
          <w:rFonts w:hint="eastAsia" w:ascii="等线" w:hAnsi="等线" w:eastAsia="等线" w:cs="等线"/>
          <w:sz w:val="24"/>
          <w:szCs w:val="24"/>
          <w:lang w:val="en-US" w:eastAsia="zh-CN"/>
        </w:rPr>
        <w:instrText xml:space="preserve"> HYPERLINK "https://jxjyxy.hunnu.edu.cn/info/1285/10814.htm" </w:instrText>
      </w:r>
      <w:r>
        <w:rPr>
          <w:rFonts w:hint="eastAsia" w:ascii="等线" w:hAnsi="等线" w:eastAsia="等线" w:cs="等线"/>
          <w:sz w:val="24"/>
          <w:szCs w:val="24"/>
          <w:lang w:val="en-US" w:eastAsia="zh-CN"/>
        </w:rPr>
        <w:fldChar w:fldCharType="separate"/>
      </w:r>
      <w:r>
        <w:rPr>
          <w:rFonts w:hint="eastAsia" w:ascii="等线" w:hAnsi="等线" w:eastAsia="等线" w:cs="等线"/>
          <w:sz w:val="24"/>
          <w:szCs w:val="24"/>
          <w:lang w:val="en-US" w:eastAsia="zh-CN"/>
        </w:rPr>
        <w:t>https://jxjyxy.hunnu.edu.cn/info/1285/10814.htm</w:t>
      </w:r>
      <w:r>
        <w:rPr>
          <w:rFonts w:hint="eastAsia" w:ascii="等线" w:hAnsi="等线" w:eastAsia="等线" w:cs="等线"/>
          <w:sz w:val="24"/>
          <w:szCs w:val="24"/>
          <w:lang w:val="en-US" w:eastAsia="zh-CN"/>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等线" w:hAnsi="等线" w:eastAsia="等线" w:cs="等线"/>
          <w:b/>
          <w:bCs/>
          <w:sz w:val="24"/>
          <w:szCs w:val="24"/>
          <w:lang w:val="en-US" w:eastAsia="zh-CN"/>
        </w:rPr>
      </w:pPr>
      <w:r>
        <w:rPr>
          <w:rFonts w:hint="eastAsia" w:ascii="等线" w:hAnsi="等线" w:eastAsia="等线" w:cs="等线"/>
          <w:b/>
          <w:bCs/>
          <w:sz w:val="24"/>
          <w:szCs w:val="24"/>
          <w:lang w:val="en-US" w:eastAsia="zh-CN"/>
        </w:rPr>
        <w:t>学业水平测试课程替代政策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根据《湖南师范大学高等学历继续教育和高等教育自学考试本科毕业生学士学位水平考试实施办法》(校行发成教字(2024)7号)文件通知精神，从2024年上半年申请学位开始，学校高等学历继续教育和高等教育自学考试本科毕业生申请学位的</w:t>
      </w:r>
      <w:r>
        <w:rPr>
          <w:rFonts w:hint="eastAsia" w:ascii="等线" w:hAnsi="等线" w:eastAsia="等线" w:cs="等线"/>
          <w:b/>
          <w:bCs/>
          <w:sz w:val="24"/>
          <w:szCs w:val="24"/>
          <w:lang w:val="en-US" w:eastAsia="zh-CN"/>
        </w:rPr>
        <w:t>学业水平测试成绩可以用各专业课程中指定的二门学位课程的考试成绩替代(二科考试成绩分别达70分及以上)</w:t>
      </w:r>
      <w:r>
        <w:rPr>
          <w:rFonts w:hint="eastAsia" w:ascii="等线" w:hAnsi="等线" w:eastAsia="等线" w:cs="等线"/>
          <w:sz w:val="24"/>
          <w:szCs w:val="24"/>
          <w:lang w:val="en-US" w:eastAsia="zh-CN"/>
        </w:rPr>
        <w:t>，</w:t>
      </w:r>
      <w:r>
        <w:rPr>
          <w:rFonts w:hint="eastAsia" w:ascii="等线" w:hAnsi="等线" w:eastAsia="等线" w:cs="等线"/>
          <w:b/>
          <w:bCs/>
          <w:sz w:val="24"/>
          <w:szCs w:val="24"/>
          <w:lang w:val="en-US" w:eastAsia="zh-CN"/>
        </w:rPr>
        <w:t>从2025年下半年开始学校不再组织学士学位学业水平测试的考试工作，特此通知。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等线" w:hAnsi="等线" w:eastAsia="等线" w:cs="等线"/>
          <w:sz w:val="24"/>
          <w:szCs w:val="24"/>
          <w:lang w:val="en-US" w:eastAsia="zh-CN"/>
        </w:rPr>
      </w:pPr>
      <w:r>
        <w:rPr>
          <w:rFonts w:hint="eastAsia" w:ascii="等线" w:hAnsi="等线" w:eastAsia="等线" w:cs="等线"/>
          <w:sz w:val="24"/>
          <w:szCs w:val="24"/>
          <w:lang w:val="en-US" w:eastAsia="zh-CN"/>
        </w:rPr>
        <w:t>各专业中指定的学业水平课程一览表请参照下方网址：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https://jxjyxy.hunnu.edu.cn/info/1284/11094.htm</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等线" w:hAnsi="等线" w:eastAsia="等线" w:cs="等线"/>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auto"/>
        <w:ind w:firstLine="480" w:firstLineChars="200"/>
        <w:textAlignment w:val="auto"/>
        <w:outlineLvl w:val="9"/>
        <w:rPr>
          <w:rFonts w:hint="default" w:ascii="等线" w:hAnsi="等线" w:eastAsia="等线" w:cs="等线"/>
          <w:b/>
          <w:bCs/>
          <w:sz w:val="24"/>
          <w:szCs w:val="24"/>
          <w:lang w:val="en-US" w:eastAsia="zh-CN"/>
        </w:rPr>
      </w:pPr>
      <w:r>
        <w:rPr>
          <w:rFonts w:hint="eastAsia" w:ascii="等线" w:hAnsi="等线" w:eastAsia="等线" w:cs="等线"/>
          <w:b/>
          <w:bCs/>
          <w:sz w:val="24"/>
          <w:szCs w:val="24"/>
          <w:lang w:val="en-US" w:eastAsia="zh-CN"/>
        </w:rPr>
        <w:t>（二）湖南农业大学</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（一）根据细则我校高等学历继续教育本科毕业生必须具备下列条件方可申请学士学位：</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1.坚持四项基本原则，遵纪守法，品行端正；通过本科教学（考试）计划规定的政治理论课学习，能够掌握马克思主义的基本理论，并能运用马克思主义的立场、观点和方法分析问题、认识问题，自觉为社会主义建设服务。</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2.按规定年限或要求完成本科教学（考试）计划中各项任务，能较好掌握本学科的基础理论、专门知识和基本技能，经审核准予毕业，且成教本科毕业生学位课程成绩每科不低于70分（含）、其他各科成绩合格，自考本科毕业生各科课程考试成绩合格。</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3.毕业论文（设计）获得中等及以上成绩。</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4.申请授予学士学位时间须在毕业后3年内。</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5.非英语专业学生学位外语水平需满足以下条件之一：</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（1）参加湖南省考试院统一组织的成人高等教育本科生学士学位外语水平考试且成绩合格。</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（2）在籍期间参加全国英语等级考试（PETS）三级及以上等级的笔试且成绩合格。</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（3）在籍期间参加全国大学英语考试（CET）四级及以上等级的笔试且成绩合格。</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（4）在籍期间及毕业后3年内，参加学校组织的湖南农业大学高等学历继续教育本科生学士学位外语水平考试且成绩合格。</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6.英语专业学生学位外语水平满足以下条件之一：</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（1）参加湖南省考试院统一组织的成人高等教育本科生学士学位外语（日语、法语）水平考试且成绩合格。</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（2）在籍期间参加全国高校英语专业（TEM）四级及以上等级考试且成绩合格。</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（3）在籍期间参加大学日语四级（CJT4）、日语能力四级（N4）、大学俄语四级（CRT4）及以上等级考试且成绩合格；</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（4）在籍期间及毕业后3年内，参加学校组织的湖南农业大学高等学历继续教育本科生学士学位日语水平考试且成绩合格。</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（二）凡有下列情况之一者，不授予学士学位：</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1.有违反四项基本原则的言行或触犯国家法律法规相关规定的。</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2.自注册学籍或考籍至申请授予学士学位期间有考核作弊或其他学术不端行为受过留校察看处分的。</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3.由于其他原因，学校学位评定委员会认为不应授予学士学位的。</w:t>
      </w:r>
    </w:p>
    <w:p>
      <w:pPr>
        <w:rPr>
          <w:rFonts w:hint="eastAsia" w:ascii="等线" w:hAnsi="等线" w:eastAsia="等线" w:cs="等线"/>
          <w:kern w:val="2"/>
          <w:sz w:val="24"/>
          <w:szCs w:val="24"/>
          <w:lang w:val="en-US" w:eastAsia="zh-CN" w:bidi="ar-SA"/>
        </w:rPr>
      </w:pP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原文链接：</w:t>
      </w:r>
    </w:p>
    <w:p>
      <w:pPr>
        <w:ind w:firstLine="480" w:firstLineChars="200"/>
        <w:rPr>
          <w:rFonts w:hint="eastAsia" w:ascii="等线" w:hAnsi="等线" w:eastAsia="等线" w:cs="等线"/>
          <w:b/>
          <w:bCs/>
          <w:sz w:val="24"/>
          <w:szCs w:val="24"/>
          <w:lang w:val="en-US" w:eastAsia="zh-CN"/>
        </w:rPr>
      </w:pPr>
      <w:r>
        <w:rPr>
          <w:rFonts w:hint="eastAsia" w:ascii="等线" w:hAnsi="等线" w:eastAsia="等线" w:cs="等线"/>
          <w:kern w:val="2"/>
          <w:sz w:val="24"/>
          <w:szCs w:val="24"/>
          <w:lang w:val="en-US" w:eastAsia="zh-CN" w:bidi="ar-SA"/>
        </w:rPr>
        <w:fldChar w:fldCharType="begin"/>
      </w:r>
      <w:r>
        <w:rPr>
          <w:rFonts w:hint="eastAsia" w:ascii="等线" w:hAnsi="等线" w:eastAsia="等线" w:cs="等线"/>
          <w:kern w:val="2"/>
          <w:sz w:val="24"/>
          <w:szCs w:val="24"/>
          <w:lang w:val="en-US" w:eastAsia="zh-CN" w:bidi="ar-SA"/>
        </w:rPr>
        <w:instrText xml:space="preserve"> HYPERLINK "https://jjxy.hunau.edu.cn/xwgg/tzgg/202310/t20231010_391270.html" </w:instrText>
      </w:r>
      <w:r>
        <w:rPr>
          <w:rFonts w:hint="eastAsia" w:ascii="等线" w:hAnsi="等线" w:eastAsia="等线" w:cs="等线"/>
          <w:kern w:val="2"/>
          <w:sz w:val="24"/>
          <w:szCs w:val="24"/>
          <w:lang w:val="en-US" w:eastAsia="zh-CN" w:bidi="ar-SA"/>
        </w:rPr>
        <w:fldChar w:fldCharType="separate"/>
      </w:r>
      <w:r>
        <w:rPr>
          <w:rFonts w:hint="eastAsia" w:ascii="等线" w:hAnsi="等线" w:eastAsia="等线" w:cs="等线"/>
          <w:kern w:val="2"/>
          <w:sz w:val="24"/>
          <w:szCs w:val="24"/>
          <w:lang w:val="en-US" w:eastAsia="zh-CN" w:bidi="ar-SA"/>
        </w:rPr>
        <w:t>https://jjxy.hunau.edu.cn/xwgg/tzgg/202310/t20231010_391270.html</w:t>
      </w:r>
      <w:r>
        <w:rPr>
          <w:rStyle w:val="10"/>
          <w:rFonts w:hint="eastAsia" w:ascii="等线" w:hAnsi="等线" w:eastAsia="等线" w:cs="等线"/>
          <w:kern w:val="2"/>
          <w:sz w:val="24"/>
          <w:szCs w:val="24"/>
          <w:lang w:val="en-US" w:eastAsia="zh-CN" w:bidi="ar-SA"/>
        </w:rPr>
        <w:br w:type="page"/>
      </w:r>
      <w:r>
        <w:rPr>
          <w:rFonts w:hint="eastAsia" w:ascii="等线" w:hAnsi="等线" w:eastAsia="等线" w:cs="等线"/>
          <w:kern w:val="2"/>
          <w:sz w:val="24"/>
          <w:szCs w:val="24"/>
          <w:lang w:val="en-US" w:eastAsia="zh-CN" w:bidi="ar-SA"/>
        </w:rPr>
        <w:fldChar w:fldCharType="end"/>
      </w:r>
      <w:r>
        <w:rPr>
          <w:rFonts w:hint="eastAsia" w:ascii="等线" w:hAnsi="等线" w:eastAsia="等线" w:cs="等线"/>
          <w:kern w:val="2"/>
          <w:sz w:val="24"/>
          <w:szCs w:val="24"/>
          <w:lang w:val="en-US" w:eastAsia="zh-CN" w:bidi="ar-SA"/>
        </w:rPr>
        <w:t xml:space="preserve">     </w:t>
      </w:r>
      <w:r>
        <w:rPr>
          <w:rFonts w:hint="eastAsia" w:ascii="等线" w:hAnsi="等线" w:eastAsia="等线" w:cs="等线"/>
          <w:b/>
          <w:bCs/>
          <w:sz w:val="24"/>
          <w:szCs w:val="24"/>
          <w:lang w:val="en-US" w:eastAsia="zh-CN"/>
        </w:rPr>
        <w:t xml:space="preserve">(三）中南林业科技大学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（一）遵守法律法规，品行良好，文明风尚，热爱祖国，拥护中国共产党。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（二）已获本校颁发的高等教育自学考试、成人高等教育本科毕业证，且证书落款时间为2021年6月至2023年6月期间(含)。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（三）外语水平要求：须在成人高等教育或高等教育自学考试在籍期间或毕业后两年之内参加相关外语水平考试且成绩合格：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1．非英语专业本科毕业生（四个条件满足其一即可）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（1）参加全国大学英语四级（CET-4）或全国大学英语六级（CET-6）考试（或同类型的日语、俄语、德语、法语相关四、六级考试）成绩合格。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（2）参加全国英语等级考试三级（PETS-3）或以上等级的考试，且笔试成绩合格。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（3）参加湖南省成人高等教育本科学士学位外语水平考试成绩合格。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（4）参加我校组织的学士学位外语水平考试且成绩合格。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2．英语专业本科毕业生（四个条件满足其一即可）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（1）参加全国高校英语专业四级或以上等级考试且获得合格证书。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（2）参加非英语的全国大学外语四级或以上等级考试且成绩合格。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（3）参加省成人学士学位外语水平考试（日、法语）且成绩合格。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（4）参加我校组织的学士学位外语水平考试（日语）且成绩合格。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（四）成教本科毕业生平均成绩不低于70分、自考本科毕业生各科课程考试成绩合格。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（五）遵守学术道德规范，论文（设计）答辩成绩中等及以上。  </w:t>
      </w:r>
    </w:p>
    <w:p>
      <w:pPr>
        <w:ind w:firstLine="480" w:firstLineChars="200"/>
        <w:rPr>
          <w:rFonts w:hint="eastAsia" w:ascii="等线" w:hAnsi="等线" w:eastAsia="等线" w:cs="等线"/>
          <w:b/>
          <w:bCs/>
          <w:sz w:val="24"/>
          <w:szCs w:val="24"/>
          <w:lang w:val="en-US" w:eastAsia="zh-CN"/>
        </w:rPr>
      </w:pPr>
      <w:r>
        <w:rPr>
          <w:rFonts w:hint="eastAsia" w:ascii="等线" w:hAnsi="等线" w:eastAsia="等线" w:cs="等线"/>
          <w:kern w:val="2"/>
          <w:sz w:val="24"/>
          <w:szCs w:val="24"/>
          <w:lang w:val="en-US" w:eastAsia="zh-CN" w:bidi="ar-SA"/>
        </w:rPr>
        <w:t>（六）在国家级考试中无作弊行为或其它学术不端行为的。   </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原文链接：</w:t>
      </w:r>
    </w:p>
    <w:p>
      <w:pPr>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fldChar w:fldCharType="begin"/>
      </w:r>
      <w:r>
        <w:rPr>
          <w:rFonts w:hint="eastAsia" w:ascii="等线" w:hAnsi="等线" w:eastAsia="等线" w:cs="等线"/>
          <w:kern w:val="2"/>
          <w:sz w:val="24"/>
          <w:szCs w:val="24"/>
          <w:lang w:val="en-US" w:eastAsia="zh-CN" w:bidi="ar-SA"/>
        </w:rPr>
        <w:instrText xml:space="preserve"> HYPERLINK "https://jxjy.csuft.edu.cn/tzgg/202312/t20231206_149787.html" </w:instrText>
      </w:r>
      <w:r>
        <w:rPr>
          <w:rFonts w:hint="eastAsia" w:ascii="等线" w:hAnsi="等线" w:eastAsia="等线" w:cs="等线"/>
          <w:kern w:val="2"/>
          <w:sz w:val="24"/>
          <w:szCs w:val="24"/>
          <w:lang w:val="en-US" w:eastAsia="zh-CN" w:bidi="ar-SA"/>
        </w:rPr>
        <w:fldChar w:fldCharType="separate"/>
      </w:r>
      <w:r>
        <w:rPr>
          <w:rFonts w:hint="eastAsia" w:ascii="等线" w:hAnsi="等线" w:eastAsia="等线" w:cs="等线"/>
          <w:kern w:val="2"/>
          <w:sz w:val="24"/>
          <w:szCs w:val="24"/>
          <w:lang w:val="en-US" w:eastAsia="zh-CN" w:bidi="ar-SA"/>
        </w:rPr>
        <w:t>https://jxjy.csuft.edu.cn/tzgg/202312/t20231206_149787.html</w:t>
      </w:r>
      <w:r>
        <w:rPr>
          <w:rFonts w:hint="eastAsia" w:ascii="等线" w:hAnsi="等线" w:eastAsia="等线" w:cs="等线"/>
          <w:kern w:val="2"/>
          <w:sz w:val="24"/>
          <w:szCs w:val="24"/>
          <w:lang w:val="en-US" w:eastAsia="zh-CN" w:bidi="ar-SA"/>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720" w:lineRule="auto"/>
        <w:ind w:firstLine="480" w:firstLineChars="200"/>
        <w:textAlignment w:val="auto"/>
        <w:outlineLvl w:val="9"/>
        <w:rPr>
          <w:rFonts w:hint="eastAsia" w:ascii="等线" w:hAnsi="等线" w:eastAsia="等线" w:cs="等线"/>
          <w:b/>
          <w:bCs/>
          <w:sz w:val="24"/>
          <w:szCs w:val="24"/>
          <w:lang w:val="en-US" w:eastAsia="zh-CN"/>
        </w:rPr>
      </w:pPr>
    </w:p>
    <w:p>
      <w:pPr>
        <w:rPr>
          <w:rFonts w:hint="eastAsia"/>
          <w:lang w:val="en-US" w:eastAsia="zh-CN"/>
        </w:rPr>
      </w:pPr>
    </w:p>
    <w:p>
      <w:pPr>
        <w:rPr>
          <w:rFonts w:hint="eastAsia"/>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numPr>
          <w:ilvl w:val="0"/>
          <w:numId w:val="1"/>
        </w:numPr>
        <w:kinsoku/>
        <w:wordWrap/>
        <w:overflowPunct/>
        <w:topLinePunct w:val="0"/>
        <w:autoSpaceDE/>
        <w:autoSpaceDN/>
        <w:bidi w:val="0"/>
        <w:adjustRightInd/>
        <w:snapToGrid/>
        <w:spacing w:line="600" w:lineRule="auto"/>
        <w:textAlignment w:val="auto"/>
        <w:outlineLvl w:val="0"/>
        <w:rPr>
          <w:rFonts w:hint="default" w:ascii="等线" w:hAnsi="等线" w:eastAsia="等线" w:cs="等线"/>
          <w:b/>
          <w:bCs/>
          <w:sz w:val="28"/>
          <w:szCs w:val="28"/>
          <w:lang w:val="en-US" w:eastAsia="zh-CN"/>
        </w:rPr>
      </w:pPr>
      <w:r>
        <w:rPr>
          <w:rFonts w:hint="eastAsia" w:ascii="等线" w:hAnsi="等线" w:eastAsia="等线" w:cs="等线"/>
          <w:b/>
          <w:bCs/>
          <w:sz w:val="28"/>
          <w:szCs w:val="28"/>
          <w:lang w:val="en-US" w:eastAsia="zh-CN"/>
        </w:rPr>
        <mc:AlternateContent>
          <mc:Choice Requires="wps">
            <w:drawing>
              <wp:anchor distT="0" distB="0" distL="114300" distR="114300" simplePos="0" relativeHeight="251662336" behindDoc="0" locked="0" layoutInCell="1" allowOverlap="1">
                <wp:simplePos x="0" y="0"/>
                <wp:positionH relativeFrom="column">
                  <wp:posOffset>4949825</wp:posOffset>
                </wp:positionH>
                <wp:positionV relativeFrom="paragraph">
                  <wp:posOffset>446405</wp:posOffset>
                </wp:positionV>
                <wp:extent cx="2371725" cy="476250"/>
                <wp:effectExtent l="0" t="0" r="9525" b="0"/>
                <wp:wrapNone/>
                <wp:docPr id="28" name="文本框 28"/>
                <wp:cNvGraphicFramePr/>
                <a:graphic xmlns:a="http://schemas.openxmlformats.org/drawingml/2006/main">
                  <a:graphicData uri="http://schemas.microsoft.com/office/word/2010/wordprocessingShape">
                    <wps:wsp>
                      <wps:cNvSpPr txBox="1"/>
                      <wps:spPr>
                        <a:xfrm>
                          <a:off x="6799580" y="1153795"/>
                          <a:ext cx="2371725" cy="4762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numPr>
                                <w:ilvl w:val="0"/>
                                <w:numId w:val="0"/>
                              </w:numPr>
                              <w:kinsoku/>
                              <w:wordWrap/>
                              <w:overflowPunct/>
                              <w:topLinePunct w:val="0"/>
                              <w:autoSpaceDE/>
                              <w:autoSpaceDN/>
                              <w:bidi w:val="0"/>
                              <w:adjustRightInd/>
                              <w:snapToGrid/>
                              <w:spacing w:line="600" w:lineRule="auto"/>
                              <w:textAlignment w:val="auto"/>
                              <w:outlineLvl w:val="0"/>
                              <w:rPr>
                                <w:rFonts w:hint="default" w:ascii="等线" w:hAnsi="等线" w:eastAsia="等线" w:cs="等线"/>
                                <w:b/>
                                <w:bCs/>
                                <w:sz w:val="24"/>
                                <w:szCs w:val="24"/>
                                <w:lang w:val="en-US" w:eastAsia="zh-CN"/>
                              </w:rPr>
                            </w:pPr>
                            <w:r>
                              <w:rPr>
                                <w:rFonts w:hint="eastAsia" w:ascii="等线" w:hAnsi="等线" w:eastAsia="等线" w:cs="等线"/>
                                <w:b/>
                                <w:bCs/>
                                <w:sz w:val="24"/>
                                <w:szCs w:val="24"/>
                                <w:lang w:val="en-US" w:eastAsia="zh-CN"/>
                              </w:rPr>
                              <w:t>2、电子档照片（2寸白底）</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9.75pt;margin-top:35.15pt;height:37.5pt;width:186.75pt;z-index:251662336;mso-width-relative:page;mso-height-relative:page;" fillcolor="#FFFFFF [3201]" filled="t" stroked="f" coordsize="21600,21600" o:gfxdata="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u5&#10;I5bWAAAACwEAAA8AAAAAAAAAAQAgAAAAIgAAAGRycy9kb3ducmV2LnhtbFBLAQIUABQAAAAIAIdO&#10;4kBtCucJXgIAAJ0EAAAOAAAAAAAAAAEAIAAAACUBAABkcnMvZTJvRG9jLnhtbFBLBQYAAAAABgAG&#10;AFkBAAD1BQAAAAA=&#10;">
                <v:fill on="t" focussize="0,0"/>
                <v:stroke on="f" weight="0.5pt"/>
                <v:imagedata o:title=""/>
                <o:lock v:ext="edit" aspectratio="f"/>
                <v:textbox>
                  <w:txbxContent>
                    <w:p>
                      <w:pPr>
                        <w:keepNext w:val="0"/>
                        <w:keepLines w:val="0"/>
                        <w:pageBreakBefore w:val="0"/>
                        <w:widowControl w:val="0"/>
                        <w:numPr>
                          <w:ilvl w:val="0"/>
                          <w:numId w:val="0"/>
                        </w:numPr>
                        <w:kinsoku/>
                        <w:wordWrap/>
                        <w:overflowPunct/>
                        <w:topLinePunct w:val="0"/>
                        <w:autoSpaceDE/>
                        <w:autoSpaceDN/>
                        <w:bidi w:val="0"/>
                        <w:adjustRightInd/>
                        <w:snapToGrid/>
                        <w:spacing w:line="600" w:lineRule="auto"/>
                        <w:textAlignment w:val="auto"/>
                        <w:outlineLvl w:val="0"/>
                        <w:rPr>
                          <w:rFonts w:hint="default" w:ascii="等线" w:hAnsi="等线" w:eastAsia="等线" w:cs="等线"/>
                          <w:b/>
                          <w:bCs/>
                          <w:sz w:val="24"/>
                          <w:szCs w:val="24"/>
                          <w:lang w:val="en-US" w:eastAsia="zh-CN"/>
                        </w:rPr>
                      </w:pPr>
                      <w:r>
                        <w:rPr>
                          <w:rFonts w:hint="eastAsia" w:ascii="等线" w:hAnsi="等线" w:eastAsia="等线" w:cs="等线"/>
                          <w:b/>
                          <w:bCs/>
                          <w:sz w:val="24"/>
                          <w:szCs w:val="24"/>
                          <w:lang w:val="en-US" w:eastAsia="zh-CN"/>
                        </w:rPr>
                        <w:t>2、电子档照片（2寸白底）</w:t>
                      </w:r>
                    </w:p>
                  </w:txbxContent>
                </v:textbox>
              </v:shape>
            </w:pict>
          </mc:Fallback>
        </mc:AlternateContent>
      </w:r>
      <w:r>
        <w:rPr>
          <w:rFonts w:hint="eastAsia" w:ascii="等线" w:hAnsi="等线" w:eastAsia="等线" w:cs="等线"/>
          <w:b/>
          <w:bCs/>
          <w:sz w:val="28"/>
          <w:szCs w:val="28"/>
          <w:lang w:val="en-US" w:eastAsia="zh-CN"/>
        </w:rPr>
        <mc:AlternateContent>
          <mc:Choice Requires="wps">
            <w:drawing>
              <wp:anchor distT="0" distB="0" distL="114300" distR="114300" simplePos="0" relativeHeight="251663360" behindDoc="0" locked="0" layoutInCell="1" allowOverlap="1">
                <wp:simplePos x="0" y="0"/>
                <wp:positionH relativeFrom="column">
                  <wp:posOffset>703580</wp:posOffset>
                </wp:positionH>
                <wp:positionV relativeFrom="paragraph">
                  <wp:posOffset>418465</wp:posOffset>
                </wp:positionV>
                <wp:extent cx="2409825" cy="476250"/>
                <wp:effectExtent l="0" t="0" r="9525" b="0"/>
                <wp:wrapNone/>
                <wp:docPr id="30" name="文本框 30"/>
                <wp:cNvGraphicFramePr/>
                <a:graphic xmlns:a="http://schemas.openxmlformats.org/drawingml/2006/main">
                  <a:graphicData uri="http://schemas.microsoft.com/office/word/2010/wordprocessingShape">
                    <wps:wsp>
                      <wps:cNvSpPr txBox="1"/>
                      <wps:spPr>
                        <a:xfrm>
                          <a:off x="0" y="0"/>
                          <a:ext cx="2409825" cy="4762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numPr>
                                <w:ilvl w:val="0"/>
                                <w:numId w:val="0"/>
                              </w:numPr>
                              <w:kinsoku/>
                              <w:wordWrap/>
                              <w:overflowPunct/>
                              <w:topLinePunct w:val="0"/>
                              <w:autoSpaceDE/>
                              <w:autoSpaceDN/>
                              <w:bidi w:val="0"/>
                              <w:adjustRightInd/>
                              <w:snapToGrid/>
                              <w:spacing w:line="600" w:lineRule="auto"/>
                              <w:textAlignment w:val="auto"/>
                              <w:outlineLvl w:val="0"/>
                              <w:rPr>
                                <w:rFonts w:hint="default" w:ascii="等线" w:hAnsi="等线" w:eastAsia="等线" w:cs="等线"/>
                                <w:b/>
                                <w:bCs/>
                                <w:sz w:val="36"/>
                                <w:szCs w:val="36"/>
                                <w:lang w:val="en-US" w:eastAsia="zh-CN"/>
                              </w:rPr>
                            </w:pPr>
                            <w:r>
                              <w:rPr>
                                <w:rFonts w:hint="eastAsia" w:ascii="等线" w:hAnsi="等线" w:eastAsia="等线" w:cs="等线"/>
                                <w:b/>
                                <w:bCs/>
                                <w:sz w:val="24"/>
                                <w:szCs w:val="24"/>
                                <w:lang w:val="en-US" w:eastAsia="zh-CN"/>
                              </w:rPr>
                              <w:t>1、报名表（考生本人填写）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4pt;margin-top:32.95pt;height:37.5pt;width:189.75pt;z-index:251663360;mso-width-relative:page;mso-height-relative:page;" fillcolor="#FFFFFF [3201]" filled="t" stroked="f" coordsize="21600,21600" o:gfxdata="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FoA6QbUAAAACgEAAA8AAAAA&#10;AAAAAQAgAAAAIgAAAGRycy9kb3ducmV2LnhtbFBLAQIUABQAAAAIAIdO4kCAVxHRUQIAAJEEAAAO&#10;AAAAAAAAAAEAIAAAACMBAABkcnMvZTJvRG9jLnhtbFBLBQYAAAAABgAGAFkBAADmBQAAAAA=&#10;">
                <v:fill on="t" focussize="0,0"/>
                <v:stroke on="f" weight="0.5pt"/>
                <v:imagedata o:title=""/>
                <o:lock v:ext="edit" aspectratio="f"/>
                <v:textbox>
                  <w:txbxContent>
                    <w:p>
                      <w:pPr>
                        <w:keepNext w:val="0"/>
                        <w:keepLines w:val="0"/>
                        <w:pageBreakBefore w:val="0"/>
                        <w:widowControl w:val="0"/>
                        <w:numPr>
                          <w:ilvl w:val="0"/>
                          <w:numId w:val="0"/>
                        </w:numPr>
                        <w:kinsoku/>
                        <w:wordWrap/>
                        <w:overflowPunct/>
                        <w:topLinePunct w:val="0"/>
                        <w:autoSpaceDE/>
                        <w:autoSpaceDN/>
                        <w:bidi w:val="0"/>
                        <w:adjustRightInd/>
                        <w:snapToGrid/>
                        <w:spacing w:line="600" w:lineRule="auto"/>
                        <w:textAlignment w:val="auto"/>
                        <w:outlineLvl w:val="0"/>
                        <w:rPr>
                          <w:rFonts w:hint="default" w:ascii="等线" w:hAnsi="等线" w:eastAsia="等线" w:cs="等线"/>
                          <w:b/>
                          <w:bCs/>
                          <w:sz w:val="36"/>
                          <w:szCs w:val="36"/>
                          <w:lang w:val="en-US" w:eastAsia="zh-CN"/>
                        </w:rPr>
                      </w:pPr>
                      <w:r>
                        <w:rPr>
                          <w:rFonts w:hint="eastAsia" w:ascii="等线" w:hAnsi="等线" w:eastAsia="等线" w:cs="等线"/>
                          <w:b/>
                          <w:bCs/>
                          <w:sz w:val="24"/>
                          <w:szCs w:val="24"/>
                          <w:lang w:val="en-US" w:eastAsia="zh-CN"/>
                        </w:rPr>
                        <w:t>1、报名表（考生本人填写）</w:t>
                      </w:r>
                    </w:p>
                  </w:txbxContent>
                </v:textbox>
              </v:shape>
            </w:pict>
          </mc:Fallback>
        </mc:AlternateContent>
      </w:r>
      <w:r>
        <w:rPr>
          <w:rFonts w:hint="eastAsia" w:ascii="等线" w:hAnsi="等线" w:eastAsia="等线" w:cs="等线"/>
          <w:b/>
          <w:bCs/>
          <w:sz w:val="28"/>
          <w:szCs w:val="28"/>
          <w:lang w:val="en-US" w:eastAsia="zh-CN"/>
        </w:rPr>
        <w:t>考生报名资料标准</w:t>
      </w:r>
    </w:p>
    <w:p>
      <w:pPr>
        <w:tabs>
          <w:tab w:val="left" w:pos="680"/>
        </w:tabs>
        <w:bidi w:val="0"/>
        <w:jc w:val="left"/>
        <w:outlineLvl w:val="9"/>
        <w:rPr>
          <w:rFonts w:hint="eastAsia"/>
          <w:lang w:val="en-US" w:eastAsia="zh-CN"/>
        </w:rPr>
      </w:pPr>
    </w:p>
    <w:p>
      <w:pPr>
        <w:tabs>
          <w:tab w:val="left" w:pos="680"/>
        </w:tabs>
        <w:bidi w:val="0"/>
        <w:jc w:val="left"/>
        <w:outlineLvl w:val="9"/>
        <w:rPr>
          <w:rFonts w:hint="eastAsia"/>
          <w:lang w:val="en-US" w:eastAsia="zh-CN"/>
        </w:rPr>
      </w:pPr>
    </w:p>
    <w:p>
      <w:pPr>
        <w:tabs>
          <w:tab w:val="left" w:pos="680"/>
        </w:tabs>
        <w:bidi w:val="0"/>
        <w:jc w:val="left"/>
        <w:outlineLvl w:val="9"/>
        <w:rPr>
          <w:rFonts w:hint="eastAsia"/>
          <w:lang w:val="en-US" w:eastAsia="zh-CN"/>
        </w:rPr>
      </w:pPr>
      <w:r>
        <w:drawing>
          <wp:anchor distT="0" distB="0" distL="114300" distR="114300" simplePos="0" relativeHeight="251671552" behindDoc="1" locked="0" layoutInCell="1" allowOverlap="1">
            <wp:simplePos x="0" y="0"/>
            <wp:positionH relativeFrom="column">
              <wp:posOffset>333375</wp:posOffset>
            </wp:positionH>
            <wp:positionV relativeFrom="page">
              <wp:posOffset>2183765</wp:posOffset>
            </wp:positionV>
            <wp:extent cx="2843530" cy="3872865"/>
            <wp:effectExtent l="0" t="0" r="13970" b="1333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2843530" cy="3872865"/>
                    </a:xfrm>
                    <a:prstGeom prst="rect">
                      <a:avLst/>
                    </a:prstGeom>
                    <a:noFill/>
                    <a:ln>
                      <a:noFill/>
                    </a:ln>
                  </pic:spPr>
                </pic:pic>
              </a:graphicData>
            </a:graphic>
          </wp:anchor>
        </w:drawing>
      </w:r>
      <w:r>
        <w:rPr>
          <w:rFonts w:hint="default" w:ascii="等线" w:hAnsi="等线" w:eastAsia="等线" w:cs="等线"/>
          <w:b/>
          <w:bCs/>
          <w:sz w:val="28"/>
          <w:szCs w:val="28"/>
          <w:lang w:val="en-US" w:eastAsia="zh-CN"/>
        </w:rPr>
        <w:drawing>
          <wp:anchor distT="0" distB="0" distL="114300" distR="114300" simplePos="0" relativeHeight="251668480" behindDoc="0" locked="0" layoutInCell="1" allowOverlap="1">
            <wp:simplePos x="0" y="0"/>
            <wp:positionH relativeFrom="column">
              <wp:posOffset>4273550</wp:posOffset>
            </wp:positionH>
            <wp:positionV relativeFrom="paragraph">
              <wp:posOffset>143510</wp:posOffset>
            </wp:positionV>
            <wp:extent cx="1072515" cy="1546860"/>
            <wp:effectExtent l="0" t="0" r="13335" b="15240"/>
            <wp:wrapNone/>
            <wp:docPr id="37" name="图片 37" descr="企业微信截图_16506173621981-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企业微信截图_16506173621981-removebg-preview"/>
                    <pic:cNvPicPr>
                      <a:picLocks noChangeAspect="1"/>
                    </pic:cNvPicPr>
                  </pic:nvPicPr>
                  <pic:blipFill>
                    <a:blip r:embed="rId11"/>
                    <a:stretch>
                      <a:fillRect/>
                    </a:stretch>
                  </pic:blipFill>
                  <pic:spPr>
                    <a:xfrm>
                      <a:off x="0" y="0"/>
                      <a:ext cx="1072515" cy="1546860"/>
                    </a:xfrm>
                    <a:prstGeom prst="rect">
                      <a:avLst/>
                    </a:prstGeom>
                  </pic:spPr>
                </pic:pic>
              </a:graphicData>
            </a:graphic>
          </wp:anchor>
        </w:drawing>
      </w:r>
    </w:p>
    <w:p>
      <w:pPr>
        <w:tabs>
          <w:tab w:val="left" w:pos="680"/>
        </w:tabs>
        <w:bidi w:val="0"/>
        <w:jc w:val="left"/>
        <w:outlineLvl w:val="9"/>
        <w:rPr>
          <w:rFonts w:hint="eastAsia"/>
          <w:lang w:val="en-US" w:eastAsia="zh-CN"/>
        </w:rPr>
      </w:pPr>
      <w:r>
        <w:rPr>
          <w:rFonts w:hint="eastAsia" w:ascii="等线" w:hAnsi="等线" w:eastAsia="等线" w:cs="等线"/>
          <w:b/>
          <w:bCs/>
          <w:sz w:val="28"/>
          <w:szCs w:val="28"/>
          <w:lang w:val="en-US" w:eastAsia="zh-CN"/>
        </w:rPr>
        <mc:AlternateContent>
          <mc:Choice Requires="wps">
            <w:drawing>
              <wp:anchor distT="0" distB="0" distL="114300" distR="114300" simplePos="0" relativeHeight="251669504" behindDoc="0" locked="0" layoutInCell="1" allowOverlap="1">
                <wp:simplePos x="0" y="0"/>
                <wp:positionH relativeFrom="column">
                  <wp:posOffset>5520055</wp:posOffset>
                </wp:positionH>
                <wp:positionV relativeFrom="paragraph">
                  <wp:posOffset>196850</wp:posOffset>
                </wp:positionV>
                <wp:extent cx="3152775" cy="1447165"/>
                <wp:effectExtent l="0" t="0" r="9525" b="635"/>
                <wp:wrapNone/>
                <wp:docPr id="38" name="文本框 38"/>
                <wp:cNvGraphicFramePr/>
                <a:graphic xmlns:a="http://schemas.openxmlformats.org/drawingml/2006/main">
                  <a:graphicData uri="http://schemas.microsoft.com/office/word/2010/wordprocessingShape">
                    <wps:wsp>
                      <wps:cNvSpPr txBox="1"/>
                      <wps:spPr>
                        <a:xfrm>
                          <a:off x="0" y="0"/>
                          <a:ext cx="3152775" cy="14471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0"/>
                              <w:rPr>
                                <w:rFonts w:hint="eastAsia" w:ascii="等线" w:hAnsi="等线" w:eastAsia="等线" w:cs="等线"/>
                                <w:b w:val="0"/>
                                <w:bCs w:val="0"/>
                                <w:sz w:val="22"/>
                                <w:szCs w:val="22"/>
                                <w:lang w:val="en-US" w:eastAsia="zh-CN"/>
                              </w:rPr>
                            </w:pPr>
                            <w:r>
                              <w:rPr>
                                <w:rFonts w:hint="eastAsia" w:ascii="等线" w:hAnsi="等线" w:eastAsia="等线" w:cs="等线"/>
                                <w:b w:val="0"/>
                                <w:bCs w:val="0"/>
                                <w:sz w:val="22"/>
                                <w:szCs w:val="22"/>
                                <w:lang w:val="en-US" w:eastAsia="zh-CN"/>
                              </w:rPr>
                              <w:t>1、本人近期正面免冠彩色电子照片；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0"/>
                              <w:rPr>
                                <w:rFonts w:hint="eastAsia" w:ascii="等线" w:hAnsi="等线" w:eastAsia="等线" w:cs="等线"/>
                                <w:b w:val="0"/>
                                <w:bCs w:val="0"/>
                                <w:sz w:val="22"/>
                                <w:szCs w:val="22"/>
                                <w:lang w:val="en-US" w:eastAsia="zh-CN"/>
                              </w:rPr>
                            </w:pPr>
                            <w:r>
                              <w:rPr>
                                <w:rFonts w:hint="eastAsia" w:ascii="等线" w:hAnsi="等线" w:eastAsia="等线" w:cs="等线"/>
                                <w:b w:val="0"/>
                                <w:bCs w:val="0"/>
                                <w:sz w:val="22"/>
                                <w:szCs w:val="22"/>
                                <w:lang w:val="en-US" w:eastAsia="zh-CN"/>
                              </w:rPr>
                              <w:t>2、电子照片的尺寸规格为480*640；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0"/>
                              <w:rPr>
                                <w:rFonts w:hint="eastAsia" w:ascii="等线" w:hAnsi="等线" w:eastAsia="等线" w:cs="等线"/>
                                <w:b w:val="0"/>
                                <w:bCs w:val="0"/>
                                <w:sz w:val="22"/>
                                <w:szCs w:val="22"/>
                                <w:lang w:val="en-US" w:eastAsia="zh-CN"/>
                              </w:rPr>
                            </w:pPr>
                            <w:r>
                              <w:rPr>
                                <w:rFonts w:hint="eastAsia" w:ascii="等线" w:hAnsi="等线" w:eastAsia="等线" w:cs="等线"/>
                                <w:b w:val="0"/>
                                <w:bCs w:val="0"/>
                                <w:sz w:val="22"/>
                                <w:szCs w:val="22"/>
                                <w:lang w:val="en-US" w:eastAsia="zh-CN"/>
                              </w:rPr>
                              <w:t>3、不得对人像特征（如伤疤、痣、发型等）进行技术处理；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0"/>
                              <w:rPr>
                                <w:rFonts w:hint="eastAsia" w:ascii="等线" w:hAnsi="等线" w:eastAsia="等线" w:cs="等线"/>
                                <w:b w:val="0"/>
                                <w:bCs w:val="0"/>
                                <w:sz w:val="22"/>
                                <w:szCs w:val="22"/>
                                <w:lang w:val="en-US" w:eastAsia="zh-CN"/>
                              </w:rPr>
                            </w:pPr>
                            <w:r>
                              <w:rPr>
                                <w:rFonts w:hint="eastAsia" w:ascii="等线" w:hAnsi="等线" w:eastAsia="等线" w:cs="等线"/>
                                <w:b w:val="0"/>
                                <w:bCs w:val="0"/>
                                <w:sz w:val="22"/>
                                <w:szCs w:val="22"/>
                                <w:lang w:val="en-US" w:eastAsia="zh-CN"/>
                              </w:rPr>
                              <w:t>4、不得佩戴耳环、项链等饰品；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0"/>
                              <w:rPr>
                                <w:rFonts w:hint="default" w:ascii="等线" w:hAnsi="等线" w:eastAsia="等线" w:cs="等线"/>
                                <w:b w:val="0"/>
                                <w:bCs w:val="0"/>
                                <w:sz w:val="22"/>
                                <w:szCs w:val="22"/>
                                <w:lang w:val="en-US" w:eastAsia="zh-CN"/>
                              </w:rPr>
                            </w:pPr>
                            <w:r>
                              <w:rPr>
                                <w:rFonts w:hint="eastAsia" w:ascii="等线" w:hAnsi="等线" w:eastAsia="等线" w:cs="等线"/>
                                <w:b w:val="0"/>
                                <w:bCs w:val="0"/>
                                <w:sz w:val="22"/>
                                <w:szCs w:val="22"/>
                                <w:lang w:val="en-US" w:eastAsia="zh-CN"/>
                              </w:rPr>
                              <w:t>5、头发不得遮挡眉毛、眼睛和耳朵，不宜化妆。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uto"/>
                              <w:textAlignment w:val="auto"/>
                              <w:outlineLvl w:val="0"/>
                              <w:rPr>
                                <w:rFonts w:hint="default" w:ascii="等线" w:hAnsi="等线" w:eastAsia="等线" w:cs="等线"/>
                                <w:b/>
                                <w:bCs/>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4.65pt;margin-top:15.5pt;height:113.95pt;width:248.25pt;z-index:251669504;mso-width-relative:page;mso-height-relative:page;" fillcolor="#FFFFFF [3201]" filled="t" stroked="f" coordsize="21600,21600" o:gfxdata="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5BF9sNYAAAALAQAADwAA&#10;AAAAAAABACAAAAAiAAAAZHJzL2Rvd25yZXYueG1sUEsBAhQAFAAAAAgAh07iQABvx+NRAgAAkgQA&#10;AA4AAAAAAAAAAQAgAAAAJQEAAGRycy9lMm9Eb2MueG1sUEsFBgAAAAAGAAYAWQEAAOgFAAAAAA==&#10;">
                <v:fill on="t" focussize="0,0"/>
                <v:stroke on="f" weight="0.5pt"/>
                <v:imagedata o:title=""/>
                <o:lock v:ext="edit" aspectratio="f"/>
                <v:textbox>
                  <w:txbxContent>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0"/>
                        <w:rPr>
                          <w:rFonts w:hint="eastAsia" w:ascii="等线" w:hAnsi="等线" w:eastAsia="等线" w:cs="等线"/>
                          <w:b w:val="0"/>
                          <w:bCs w:val="0"/>
                          <w:sz w:val="22"/>
                          <w:szCs w:val="22"/>
                          <w:lang w:val="en-US" w:eastAsia="zh-CN"/>
                        </w:rPr>
                      </w:pPr>
                      <w:r>
                        <w:rPr>
                          <w:rFonts w:hint="eastAsia" w:ascii="等线" w:hAnsi="等线" w:eastAsia="等线" w:cs="等线"/>
                          <w:b w:val="0"/>
                          <w:bCs w:val="0"/>
                          <w:sz w:val="22"/>
                          <w:szCs w:val="22"/>
                          <w:lang w:val="en-US" w:eastAsia="zh-CN"/>
                        </w:rPr>
                        <w:t>1、本人近期正面免冠彩色电子照片；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0"/>
                        <w:rPr>
                          <w:rFonts w:hint="eastAsia" w:ascii="等线" w:hAnsi="等线" w:eastAsia="等线" w:cs="等线"/>
                          <w:b w:val="0"/>
                          <w:bCs w:val="0"/>
                          <w:sz w:val="22"/>
                          <w:szCs w:val="22"/>
                          <w:lang w:val="en-US" w:eastAsia="zh-CN"/>
                        </w:rPr>
                      </w:pPr>
                      <w:r>
                        <w:rPr>
                          <w:rFonts w:hint="eastAsia" w:ascii="等线" w:hAnsi="等线" w:eastAsia="等线" w:cs="等线"/>
                          <w:b w:val="0"/>
                          <w:bCs w:val="0"/>
                          <w:sz w:val="22"/>
                          <w:szCs w:val="22"/>
                          <w:lang w:val="en-US" w:eastAsia="zh-CN"/>
                        </w:rPr>
                        <w:t>2、电子照片的尺寸规格为480*640；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0"/>
                        <w:rPr>
                          <w:rFonts w:hint="eastAsia" w:ascii="等线" w:hAnsi="等线" w:eastAsia="等线" w:cs="等线"/>
                          <w:b w:val="0"/>
                          <w:bCs w:val="0"/>
                          <w:sz w:val="22"/>
                          <w:szCs w:val="22"/>
                          <w:lang w:val="en-US" w:eastAsia="zh-CN"/>
                        </w:rPr>
                      </w:pPr>
                      <w:r>
                        <w:rPr>
                          <w:rFonts w:hint="eastAsia" w:ascii="等线" w:hAnsi="等线" w:eastAsia="等线" w:cs="等线"/>
                          <w:b w:val="0"/>
                          <w:bCs w:val="0"/>
                          <w:sz w:val="22"/>
                          <w:szCs w:val="22"/>
                          <w:lang w:val="en-US" w:eastAsia="zh-CN"/>
                        </w:rPr>
                        <w:t>3、不得对人像特征（如伤疤、痣、发型等）进行技术处理；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0"/>
                        <w:rPr>
                          <w:rFonts w:hint="eastAsia" w:ascii="等线" w:hAnsi="等线" w:eastAsia="等线" w:cs="等线"/>
                          <w:b w:val="0"/>
                          <w:bCs w:val="0"/>
                          <w:sz w:val="22"/>
                          <w:szCs w:val="22"/>
                          <w:lang w:val="en-US" w:eastAsia="zh-CN"/>
                        </w:rPr>
                      </w:pPr>
                      <w:r>
                        <w:rPr>
                          <w:rFonts w:hint="eastAsia" w:ascii="等线" w:hAnsi="等线" w:eastAsia="等线" w:cs="等线"/>
                          <w:b w:val="0"/>
                          <w:bCs w:val="0"/>
                          <w:sz w:val="22"/>
                          <w:szCs w:val="22"/>
                          <w:lang w:val="en-US" w:eastAsia="zh-CN"/>
                        </w:rPr>
                        <w:t>4、不得佩戴耳环、项链等饰品；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0"/>
                        <w:rPr>
                          <w:rFonts w:hint="default" w:ascii="等线" w:hAnsi="等线" w:eastAsia="等线" w:cs="等线"/>
                          <w:b w:val="0"/>
                          <w:bCs w:val="0"/>
                          <w:sz w:val="22"/>
                          <w:szCs w:val="22"/>
                          <w:lang w:val="en-US" w:eastAsia="zh-CN"/>
                        </w:rPr>
                      </w:pPr>
                      <w:r>
                        <w:rPr>
                          <w:rFonts w:hint="eastAsia" w:ascii="等线" w:hAnsi="等线" w:eastAsia="等线" w:cs="等线"/>
                          <w:b w:val="0"/>
                          <w:bCs w:val="0"/>
                          <w:sz w:val="22"/>
                          <w:szCs w:val="22"/>
                          <w:lang w:val="en-US" w:eastAsia="zh-CN"/>
                        </w:rPr>
                        <w:t>5、头发不得遮挡眉毛、眼睛和耳朵，不宜化妆。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auto"/>
                        <w:textAlignment w:val="auto"/>
                        <w:outlineLvl w:val="0"/>
                        <w:rPr>
                          <w:rFonts w:hint="default" w:ascii="等线" w:hAnsi="等线" w:eastAsia="等线" w:cs="等线"/>
                          <w:b/>
                          <w:bCs/>
                          <w:sz w:val="24"/>
                          <w:szCs w:val="24"/>
                          <w:lang w:val="en-US" w:eastAsia="zh-CN"/>
                        </w:rPr>
                      </w:pPr>
                    </w:p>
                  </w:txbxContent>
                </v:textbox>
              </v:shape>
            </w:pict>
          </mc:Fallback>
        </mc:AlternateContent>
      </w:r>
    </w:p>
    <w:p>
      <w:pPr>
        <w:tabs>
          <w:tab w:val="left" w:pos="680"/>
        </w:tabs>
        <w:bidi w:val="0"/>
        <w:jc w:val="left"/>
        <w:outlineLvl w:val="9"/>
      </w:pP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ind w:firstLine="420" w:firstLineChars="0"/>
        <w:rPr>
          <w:rFonts w:hint="eastAsia"/>
          <w:lang w:val="en-US" w:eastAsia="zh-CN"/>
        </w:rPr>
      </w:pPr>
      <w:r>
        <w:rPr>
          <w:rFonts w:hint="eastAsia" w:ascii="等线" w:hAnsi="等线" w:eastAsia="等线" w:cs="等线"/>
          <w:b/>
          <w:bCs/>
          <w:sz w:val="28"/>
          <w:szCs w:val="28"/>
          <w:lang w:val="en-US" w:eastAsia="zh-CN"/>
        </w:rPr>
        <mc:AlternateContent>
          <mc:Choice Requires="wps">
            <w:drawing>
              <wp:anchor distT="0" distB="0" distL="114300" distR="114300" simplePos="0" relativeHeight="251664384" behindDoc="0" locked="0" layoutInCell="1" allowOverlap="1">
                <wp:simplePos x="0" y="0"/>
                <wp:positionH relativeFrom="column">
                  <wp:posOffset>4928870</wp:posOffset>
                </wp:positionH>
                <wp:positionV relativeFrom="paragraph">
                  <wp:posOffset>26035</wp:posOffset>
                </wp:positionV>
                <wp:extent cx="2656840" cy="476250"/>
                <wp:effectExtent l="0" t="0" r="10160" b="0"/>
                <wp:wrapNone/>
                <wp:docPr id="31" name="文本框 31"/>
                <wp:cNvGraphicFramePr/>
                <a:graphic xmlns:a="http://schemas.openxmlformats.org/drawingml/2006/main">
                  <a:graphicData uri="http://schemas.microsoft.com/office/word/2010/wordprocessingShape">
                    <wps:wsp>
                      <wps:cNvSpPr txBox="1"/>
                      <wps:spPr>
                        <a:xfrm>
                          <a:off x="0" y="0"/>
                          <a:ext cx="2656840" cy="4762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numPr>
                                <w:ilvl w:val="0"/>
                                <w:numId w:val="0"/>
                              </w:numPr>
                              <w:kinsoku/>
                              <w:wordWrap/>
                              <w:overflowPunct/>
                              <w:topLinePunct w:val="0"/>
                              <w:autoSpaceDE/>
                              <w:autoSpaceDN/>
                              <w:bidi w:val="0"/>
                              <w:adjustRightInd/>
                              <w:snapToGrid/>
                              <w:spacing w:line="600" w:lineRule="auto"/>
                              <w:textAlignment w:val="auto"/>
                              <w:outlineLvl w:val="0"/>
                              <w:rPr>
                                <w:rFonts w:hint="default" w:ascii="等线" w:hAnsi="等线" w:eastAsia="等线" w:cs="等线"/>
                                <w:b/>
                                <w:bCs/>
                                <w:sz w:val="36"/>
                                <w:szCs w:val="36"/>
                                <w:lang w:val="en-US" w:eastAsia="zh-CN"/>
                              </w:rPr>
                            </w:pPr>
                            <w:r>
                              <w:rPr>
                                <w:rFonts w:hint="eastAsia" w:ascii="等线" w:hAnsi="等线" w:eastAsia="等线" w:cs="等线"/>
                                <w:b/>
                                <w:bCs/>
                                <w:sz w:val="24"/>
                                <w:szCs w:val="24"/>
                                <w:lang w:val="en-US" w:eastAsia="zh-CN"/>
                              </w:rPr>
                              <w:t>3、身份证正反面（扫描件或照片）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8.1pt;margin-top:2.05pt;height:37.5pt;width:209.2pt;z-index:251664384;mso-width-relative:page;mso-height-relative:page;" fillcolor="#FFFFFF [3201]" filled="t" stroked="f" coordsize="21600,21600" o:gfxdata="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pBMqdQAAAAJAQAADwAAAAAA&#10;AAABACAAAAAiAAAAZHJzL2Rvd25yZXYueG1sUEsBAhQAFAAAAAgAh07iQLdqyftQAgAAkQQAAA4A&#10;AAAAAAAAAQAgAAAAIwEAAGRycy9lMm9Eb2MueG1sUEsFBgAAAAAGAAYAWQEAAOUFAAAAAA==&#10;">
                <v:fill on="t" focussize="0,0"/>
                <v:stroke on="f" weight="0.5pt"/>
                <v:imagedata o:title=""/>
                <o:lock v:ext="edit" aspectratio="f"/>
                <v:textbox>
                  <w:txbxContent>
                    <w:p>
                      <w:pPr>
                        <w:keepNext w:val="0"/>
                        <w:keepLines w:val="0"/>
                        <w:pageBreakBefore w:val="0"/>
                        <w:widowControl w:val="0"/>
                        <w:numPr>
                          <w:ilvl w:val="0"/>
                          <w:numId w:val="0"/>
                        </w:numPr>
                        <w:kinsoku/>
                        <w:wordWrap/>
                        <w:overflowPunct/>
                        <w:topLinePunct w:val="0"/>
                        <w:autoSpaceDE/>
                        <w:autoSpaceDN/>
                        <w:bidi w:val="0"/>
                        <w:adjustRightInd/>
                        <w:snapToGrid/>
                        <w:spacing w:line="600" w:lineRule="auto"/>
                        <w:textAlignment w:val="auto"/>
                        <w:outlineLvl w:val="0"/>
                        <w:rPr>
                          <w:rFonts w:hint="default" w:ascii="等线" w:hAnsi="等线" w:eastAsia="等线" w:cs="等线"/>
                          <w:b/>
                          <w:bCs/>
                          <w:sz w:val="36"/>
                          <w:szCs w:val="36"/>
                          <w:lang w:val="en-US" w:eastAsia="zh-CN"/>
                        </w:rPr>
                      </w:pPr>
                      <w:r>
                        <w:rPr>
                          <w:rFonts w:hint="eastAsia" w:ascii="等线" w:hAnsi="等线" w:eastAsia="等线" w:cs="等线"/>
                          <w:b/>
                          <w:bCs/>
                          <w:sz w:val="24"/>
                          <w:szCs w:val="24"/>
                          <w:lang w:val="en-US" w:eastAsia="zh-CN"/>
                        </w:rPr>
                        <w:t>3、身份证正反面（扫描件或照片）</w:t>
                      </w:r>
                    </w:p>
                  </w:txbxContent>
                </v:textbox>
              </v:shape>
            </w:pict>
          </mc:Fallback>
        </mc:AlternateContent>
      </w:r>
    </w:p>
    <w:p>
      <w:pPr>
        <w:bidi w:val="0"/>
        <w:rPr>
          <w:rFonts w:hint="eastAsia"/>
          <w:lang w:val="en-US" w:eastAsia="zh-CN"/>
        </w:rPr>
      </w:pPr>
    </w:p>
    <w:p>
      <w:pPr>
        <w:bidi w:val="0"/>
        <w:rPr>
          <w:rFonts w:hint="eastAsia"/>
          <w:lang w:val="en-US" w:eastAsia="zh-CN"/>
        </w:rPr>
      </w:pPr>
      <w:r>
        <w:rPr>
          <w:rFonts w:hint="eastAsia" w:ascii="等线" w:hAnsi="等线" w:eastAsia="等线" w:cs="等线"/>
          <w:b/>
          <w:bCs/>
          <w:sz w:val="28"/>
          <w:szCs w:val="28"/>
          <w:lang w:val="en-US" w:eastAsia="zh-CN"/>
        </w:rPr>
        <w:drawing>
          <wp:anchor distT="0" distB="0" distL="114300" distR="114300" simplePos="0" relativeHeight="251660288" behindDoc="0" locked="0" layoutInCell="1" allowOverlap="1">
            <wp:simplePos x="0" y="0"/>
            <wp:positionH relativeFrom="column">
              <wp:posOffset>4080510</wp:posOffset>
            </wp:positionH>
            <wp:positionV relativeFrom="paragraph">
              <wp:posOffset>104140</wp:posOffset>
            </wp:positionV>
            <wp:extent cx="2268220" cy="1730375"/>
            <wp:effectExtent l="0" t="0" r="17780" b="3175"/>
            <wp:wrapNone/>
            <wp:docPr id="11" name="图片 4" descr="企业微信截图_1615297660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企业微信截图_16152976603453"/>
                    <pic:cNvPicPr>
                      <a:picLocks noChangeAspect="1"/>
                    </pic:cNvPicPr>
                  </pic:nvPicPr>
                  <pic:blipFill>
                    <a:blip r:embed="rId12"/>
                    <a:srcRect l="8161" t="5325" r="12151" b="55021"/>
                    <a:stretch>
                      <a:fillRect/>
                    </a:stretch>
                  </pic:blipFill>
                  <pic:spPr>
                    <a:xfrm>
                      <a:off x="0" y="0"/>
                      <a:ext cx="2268220" cy="1730375"/>
                    </a:xfrm>
                    <a:prstGeom prst="rect">
                      <a:avLst/>
                    </a:prstGeom>
                  </pic:spPr>
                </pic:pic>
              </a:graphicData>
            </a:graphic>
          </wp:anchor>
        </w:drawing>
      </w:r>
      <w:r>
        <w:rPr>
          <w:rFonts w:hint="eastAsia" w:ascii="等线" w:hAnsi="等线" w:eastAsia="等线" w:cs="等线"/>
          <w:b/>
          <w:bCs/>
          <w:sz w:val="28"/>
          <w:szCs w:val="28"/>
          <w:lang w:val="en-US" w:eastAsia="zh-CN"/>
        </w:rPr>
        <w:drawing>
          <wp:anchor distT="0" distB="0" distL="114300" distR="114300" simplePos="0" relativeHeight="251661312" behindDoc="0" locked="0" layoutInCell="1" allowOverlap="1">
            <wp:simplePos x="0" y="0"/>
            <wp:positionH relativeFrom="column">
              <wp:posOffset>6338570</wp:posOffset>
            </wp:positionH>
            <wp:positionV relativeFrom="paragraph">
              <wp:posOffset>168910</wp:posOffset>
            </wp:positionV>
            <wp:extent cx="2353945" cy="1650365"/>
            <wp:effectExtent l="0" t="0" r="8255" b="6985"/>
            <wp:wrapNone/>
            <wp:docPr id="27" name="图片 4" descr="企业微信截图_1615297660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descr="企业微信截图_16152976603453"/>
                    <pic:cNvPicPr>
                      <a:picLocks noChangeAspect="1"/>
                    </pic:cNvPicPr>
                  </pic:nvPicPr>
                  <pic:blipFill>
                    <a:blip r:embed="rId12"/>
                    <a:srcRect l="12683" t="59461" r="6537" b="3622"/>
                    <a:stretch>
                      <a:fillRect/>
                    </a:stretch>
                  </pic:blipFill>
                  <pic:spPr>
                    <a:xfrm>
                      <a:off x="0" y="0"/>
                      <a:ext cx="2353945" cy="1650365"/>
                    </a:xfrm>
                    <a:prstGeom prst="rect">
                      <a:avLst/>
                    </a:prstGeom>
                  </pic:spPr>
                </pic:pic>
              </a:graphicData>
            </a:graphic>
          </wp:anchor>
        </w:drawing>
      </w: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1768"/>
        </w:tabs>
        <w:bidi w:val="0"/>
        <w:jc w:val="left"/>
        <w:rPr>
          <w:rFonts w:hint="eastAsia"/>
          <w:lang w:val="en-US" w:eastAsia="zh-CN"/>
        </w:rPr>
      </w:pPr>
      <w:r>
        <w:rPr>
          <w:rFonts w:hint="eastAsia"/>
          <w:lang w:val="en-US" w:eastAsia="zh-CN"/>
        </w:rPr>
        <w:tab/>
      </w: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r>
        <w:rPr>
          <w:rFonts w:hint="eastAsia" w:ascii="等线" w:hAnsi="等线" w:eastAsia="等线" w:cs="等线"/>
          <w:b/>
          <w:bCs/>
          <w:sz w:val="28"/>
          <w:szCs w:val="28"/>
          <w:lang w:val="en-US" w:eastAsia="zh-CN"/>
        </w:rPr>
        <mc:AlternateContent>
          <mc:Choice Requires="wps">
            <w:drawing>
              <wp:anchor distT="0" distB="0" distL="114300" distR="114300" simplePos="0" relativeHeight="251667456" behindDoc="0" locked="0" layoutInCell="1" allowOverlap="1">
                <wp:simplePos x="0" y="0"/>
                <wp:positionH relativeFrom="column">
                  <wp:posOffset>636905</wp:posOffset>
                </wp:positionH>
                <wp:positionV relativeFrom="paragraph">
                  <wp:posOffset>-372110</wp:posOffset>
                </wp:positionV>
                <wp:extent cx="2656840" cy="476250"/>
                <wp:effectExtent l="0" t="0" r="10160" b="0"/>
                <wp:wrapNone/>
                <wp:docPr id="34" name="文本框 34"/>
                <wp:cNvGraphicFramePr/>
                <a:graphic xmlns:a="http://schemas.openxmlformats.org/drawingml/2006/main">
                  <a:graphicData uri="http://schemas.microsoft.com/office/word/2010/wordprocessingShape">
                    <wps:wsp>
                      <wps:cNvSpPr txBox="1"/>
                      <wps:spPr>
                        <a:xfrm>
                          <a:off x="0" y="0"/>
                          <a:ext cx="2656840" cy="4762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numPr>
                                <w:ilvl w:val="0"/>
                                <w:numId w:val="0"/>
                              </w:numPr>
                              <w:kinsoku/>
                              <w:wordWrap/>
                              <w:overflowPunct/>
                              <w:topLinePunct w:val="0"/>
                              <w:autoSpaceDE/>
                              <w:autoSpaceDN/>
                              <w:bidi w:val="0"/>
                              <w:adjustRightInd/>
                              <w:snapToGrid/>
                              <w:spacing w:line="600" w:lineRule="auto"/>
                              <w:textAlignment w:val="auto"/>
                              <w:outlineLvl w:val="0"/>
                              <w:rPr>
                                <w:rFonts w:hint="default" w:ascii="等线" w:hAnsi="等线" w:eastAsia="等线" w:cs="等线"/>
                                <w:b/>
                                <w:bCs/>
                                <w:sz w:val="36"/>
                                <w:szCs w:val="36"/>
                                <w:lang w:val="en-US" w:eastAsia="zh-CN"/>
                              </w:rPr>
                            </w:pPr>
                            <w:r>
                              <w:rPr>
                                <w:rFonts w:hint="eastAsia" w:ascii="等线" w:hAnsi="等线" w:eastAsia="等线" w:cs="等线"/>
                                <w:b/>
                                <w:bCs/>
                                <w:sz w:val="24"/>
                                <w:szCs w:val="24"/>
                                <w:lang w:val="en-US" w:eastAsia="zh-CN"/>
                              </w:rPr>
                              <w:t>4、前置学历毕业证、电子注册备案表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15pt;margin-top:-29.3pt;height:37.5pt;width:209.2pt;z-index:251667456;mso-width-relative:page;mso-height-relative:page;" fillcolor="#FFFFFF [3201]" filled="t" stroked="f" coordsize="21600,21600" o:gfxdata="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LowkjUAAAACgEAAA8AAAAA&#10;AAAAAQAgAAAAIgAAAGRycy9kb3ducmV2LnhtbFBLAQIUABQAAAAIAIdO4kC2IS8vUQIAAJEEAAAO&#10;AAAAAAAAAAEAIAAAACMBAABkcnMvZTJvRG9jLnhtbFBLBQYAAAAABgAGAFkBAADmBQAAAAA=&#10;">
                <v:fill on="t" focussize="0,0"/>
                <v:stroke on="f" weight="0.5pt"/>
                <v:imagedata o:title=""/>
                <o:lock v:ext="edit" aspectratio="f"/>
                <v:textbox>
                  <w:txbxContent>
                    <w:p>
                      <w:pPr>
                        <w:keepNext w:val="0"/>
                        <w:keepLines w:val="0"/>
                        <w:pageBreakBefore w:val="0"/>
                        <w:widowControl w:val="0"/>
                        <w:numPr>
                          <w:ilvl w:val="0"/>
                          <w:numId w:val="0"/>
                        </w:numPr>
                        <w:kinsoku/>
                        <w:wordWrap/>
                        <w:overflowPunct/>
                        <w:topLinePunct w:val="0"/>
                        <w:autoSpaceDE/>
                        <w:autoSpaceDN/>
                        <w:bidi w:val="0"/>
                        <w:adjustRightInd/>
                        <w:snapToGrid/>
                        <w:spacing w:line="600" w:lineRule="auto"/>
                        <w:textAlignment w:val="auto"/>
                        <w:outlineLvl w:val="0"/>
                        <w:rPr>
                          <w:rFonts w:hint="default" w:ascii="等线" w:hAnsi="等线" w:eastAsia="等线" w:cs="等线"/>
                          <w:b/>
                          <w:bCs/>
                          <w:sz w:val="36"/>
                          <w:szCs w:val="36"/>
                          <w:lang w:val="en-US" w:eastAsia="zh-CN"/>
                        </w:rPr>
                      </w:pPr>
                      <w:r>
                        <w:rPr>
                          <w:rFonts w:hint="eastAsia" w:ascii="等线" w:hAnsi="等线" w:eastAsia="等线" w:cs="等线"/>
                          <w:b/>
                          <w:bCs/>
                          <w:sz w:val="24"/>
                          <w:szCs w:val="24"/>
                          <w:lang w:val="en-US" w:eastAsia="zh-CN"/>
                        </w:rPr>
                        <w:t>4、前置学历毕业证、电子注册备案表</w:t>
                      </w:r>
                    </w:p>
                  </w:txbxContent>
                </v:textbox>
              </v:shape>
            </w:pict>
          </mc:Fallback>
        </mc:AlternateContent>
      </w:r>
    </w:p>
    <w:p>
      <w:pPr>
        <w:tabs>
          <w:tab w:val="left" w:pos="1768"/>
        </w:tabs>
        <w:bidi w:val="0"/>
        <w:jc w:val="left"/>
        <w:rPr>
          <w:rFonts w:hint="eastAsia"/>
          <w:lang w:val="en-US" w:eastAsia="zh-CN"/>
        </w:rPr>
      </w:pPr>
      <w:r>
        <w:drawing>
          <wp:anchor distT="0" distB="0" distL="114300" distR="114300" simplePos="0" relativeHeight="251666432" behindDoc="0" locked="0" layoutInCell="1" allowOverlap="1">
            <wp:simplePos x="0" y="0"/>
            <wp:positionH relativeFrom="column">
              <wp:posOffset>678815</wp:posOffset>
            </wp:positionH>
            <wp:positionV relativeFrom="paragraph">
              <wp:posOffset>114300</wp:posOffset>
            </wp:positionV>
            <wp:extent cx="3339465" cy="2361565"/>
            <wp:effectExtent l="0" t="0" r="13335" b="635"/>
            <wp:wrapNone/>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13"/>
                    <a:stretch>
                      <a:fillRect/>
                    </a:stretch>
                  </pic:blipFill>
                  <pic:spPr>
                    <a:xfrm>
                      <a:off x="0" y="0"/>
                      <a:ext cx="3339465" cy="2361565"/>
                    </a:xfrm>
                    <a:prstGeom prst="rect">
                      <a:avLst/>
                    </a:prstGeom>
                    <a:noFill/>
                    <a:ln>
                      <a:noFill/>
                    </a:ln>
                  </pic:spPr>
                </pic:pic>
              </a:graphicData>
            </a:graphic>
          </wp:anchor>
        </w:drawing>
      </w:r>
      <w:r>
        <w:drawing>
          <wp:anchor distT="0" distB="0" distL="114300" distR="114300" simplePos="0" relativeHeight="251665408" behindDoc="0" locked="0" layoutInCell="1" allowOverlap="1">
            <wp:simplePos x="0" y="0"/>
            <wp:positionH relativeFrom="column">
              <wp:posOffset>4732655</wp:posOffset>
            </wp:positionH>
            <wp:positionV relativeFrom="paragraph">
              <wp:posOffset>16510</wp:posOffset>
            </wp:positionV>
            <wp:extent cx="3807460" cy="5069840"/>
            <wp:effectExtent l="0" t="0" r="2540" b="16510"/>
            <wp:wrapNone/>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14"/>
                    <a:stretch>
                      <a:fillRect/>
                    </a:stretch>
                  </pic:blipFill>
                  <pic:spPr>
                    <a:xfrm>
                      <a:off x="0" y="0"/>
                      <a:ext cx="3807460" cy="5069840"/>
                    </a:xfrm>
                    <a:prstGeom prst="rect">
                      <a:avLst/>
                    </a:prstGeom>
                    <a:noFill/>
                    <a:ln>
                      <a:noFill/>
                    </a:ln>
                  </pic:spPr>
                </pic:pic>
              </a:graphicData>
            </a:graphic>
          </wp:anchor>
        </w:drawing>
      </w: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r>
        <w:drawing>
          <wp:anchor distT="0" distB="0" distL="114300" distR="114300" simplePos="0" relativeHeight="251670528" behindDoc="0" locked="0" layoutInCell="1" allowOverlap="1">
            <wp:simplePos x="0" y="0"/>
            <wp:positionH relativeFrom="column">
              <wp:posOffset>640715</wp:posOffset>
            </wp:positionH>
            <wp:positionV relativeFrom="paragraph">
              <wp:posOffset>184150</wp:posOffset>
            </wp:positionV>
            <wp:extent cx="3382010" cy="2374900"/>
            <wp:effectExtent l="0" t="0" r="8890" b="6350"/>
            <wp:wrapNone/>
            <wp:docPr id="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
                    <pic:cNvPicPr>
                      <a:picLocks noChangeAspect="1"/>
                    </pic:cNvPicPr>
                  </pic:nvPicPr>
                  <pic:blipFill>
                    <a:blip r:embed="rId15"/>
                    <a:stretch>
                      <a:fillRect/>
                    </a:stretch>
                  </pic:blipFill>
                  <pic:spPr>
                    <a:xfrm>
                      <a:off x="0" y="0"/>
                      <a:ext cx="3382010" cy="2374900"/>
                    </a:xfrm>
                    <a:prstGeom prst="rect">
                      <a:avLst/>
                    </a:prstGeom>
                    <a:noFill/>
                    <a:ln w="9525">
                      <a:noFill/>
                    </a:ln>
                  </pic:spPr>
                </pic:pic>
              </a:graphicData>
            </a:graphic>
          </wp:anchor>
        </w:drawing>
      </w: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p>
      <w:pPr>
        <w:tabs>
          <w:tab w:val="left" w:pos="1768"/>
        </w:tabs>
        <w:bidi w:val="0"/>
        <w:jc w:val="left"/>
        <w:rPr>
          <w:rFonts w:hint="eastAsia"/>
          <w:lang w:val="en-US" w:eastAsia="zh-CN"/>
        </w:rPr>
      </w:pPr>
    </w:p>
    <w:sectPr>
      <w:type w:val="continuous"/>
      <w:pgSz w:w="16838" w:h="11906" w:orient="landscape"/>
      <w:pgMar w:top="1803" w:right="1440" w:bottom="1803" w:left="1440" w:header="851" w:footer="992" w:gutter="0"/>
      <w:pgBorders w:offsetFrom="page">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C38EB7"/>
    <w:multiLevelType w:val="singleLevel"/>
    <w:tmpl w:val="84C38EB7"/>
    <w:lvl w:ilvl="0" w:tentative="0">
      <w:start w:val="1"/>
      <w:numFmt w:val="decimal"/>
      <w:suff w:val="nothing"/>
      <w:lvlText w:val="（%1）"/>
      <w:lvlJc w:val="left"/>
      <w:pPr>
        <w:ind w:left="-60"/>
      </w:pPr>
      <w:rPr>
        <w:rFonts w:hint="default"/>
        <w:b w:val="0"/>
        <w:bCs w:val="0"/>
      </w:rPr>
    </w:lvl>
  </w:abstractNum>
  <w:abstractNum w:abstractNumId="1">
    <w:nsid w:val="8A413563"/>
    <w:multiLevelType w:val="singleLevel"/>
    <w:tmpl w:val="8A413563"/>
    <w:lvl w:ilvl="0" w:tentative="0">
      <w:start w:val="1"/>
      <w:numFmt w:val="decimal"/>
      <w:lvlText w:val="%1."/>
      <w:lvlJc w:val="left"/>
      <w:pPr>
        <w:tabs>
          <w:tab w:val="left" w:pos="312"/>
        </w:tabs>
      </w:pPr>
      <w:rPr>
        <w:rFonts w:hint="default"/>
        <w:b/>
        <w:bCs/>
      </w:rPr>
    </w:lvl>
  </w:abstractNum>
  <w:abstractNum w:abstractNumId="2">
    <w:nsid w:val="A45F9B01"/>
    <w:multiLevelType w:val="singleLevel"/>
    <w:tmpl w:val="A45F9B01"/>
    <w:lvl w:ilvl="0" w:tentative="0">
      <w:start w:val="1"/>
      <w:numFmt w:val="decimal"/>
      <w:lvlText w:val="%1."/>
      <w:lvlJc w:val="left"/>
      <w:pPr>
        <w:tabs>
          <w:tab w:val="left" w:pos="312"/>
        </w:tabs>
      </w:pPr>
      <w:rPr>
        <w:rFonts w:hint="default"/>
        <w:b/>
        <w:bCs/>
      </w:rPr>
    </w:lvl>
  </w:abstractNum>
  <w:abstractNum w:abstractNumId="3">
    <w:nsid w:val="B89FBE87"/>
    <w:multiLevelType w:val="singleLevel"/>
    <w:tmpl w:val="B89FBE87"/>
    <w:lvl w:ilvl="0" w:tentative="0">
      <w:start w:val="1"/>
      <w:numFmt w:val="decimal"/>
      <w:lvlText w:val="%1."/>
      <w:lvlJc w:val="left"/>
      <w:pPr>
        <w:tabs>
          <w:tab w:val="left" w:pos="312"/>
        </w:tabs>
      </w:pPr>
    </w:lvl>
  </w:abstractNum>
  <w:abstractNum w:abstractNumId="4">
    <w:nsid w:val="BE297305"/>
    <w:multiLevelType w:val="singleLevel"/>
    <w:tmpl w:val="BE297305"/>
    <w:lvl w:ilvl="0" w:tentative="0">
      <w:start w:val="1"/>
      <w:numFmt w:val="decimal"/>
      <w:suff w:val="nothing"/>
      <w:lvlText w:val="（%1）"/>
      <w:lvlJc w:val="left"/>
      <w:rPr>
        <w:rFonts w:hint="default"/>
        <w:b/>
        <w:bCs/>
      </w:rPr>
    </w:lvl>
  </w:abstractNum>
  <w:abstractNum w:abstractNumId="5">
    <w:nsid w:val="C7E115F8"/>
    <w:multiLevelType w:val="singleLevel"/>
    <w:tmpl w:val="C7E115F8"/>
    <w:lvl w:ilvl="0" w:tentative="0">
      <w:start w:val="1"/>
      <w:numFmt w:val="decimal"/>
      <w:lvlText w:val="%1."/>
      <w:lvlJc w:val="left"/>
      <w:pPr>
        <w:tabs>
          <w:tab w:val="left" w:pos="312"/>
        </w:tabs>
        <w:ind w:left="-60"/>
      </w:pPr>
      <w:rPr>
        <w:rFonts w:hint="default"/>
        <w:b/>
        <w:bCs/>
      </w:rPr>
    </w:lvl>
  </w:abstractNum>
  <w:abstractNum w:abstractNumId="6">
    <w:nsid w:val="CBC998D0"/>
    <w:multiLevelType w:val="singleLevel"/>
    <w:tmpl w:val="CBC998D0"/>
    <w:lvl w:ilvl="0" w:tentative="0">
      <w:start w:val="1"/>
      <w:numFmt w:val="decimal"/>
      <w:suff w:val="nothing"/>
      <w:lvlText w:val="（%1）"/>
      <w:lvlJc w:val="left"/>
      <w:pPr>
        <w:ind w:left="-60"/>
      </w:pPr>
      <w:rPr>
        <w:rFonts w:hint="default"/>
        <w:b/>
        <w:bCs/>
      </w:rPr>
    </w:lvl>
  </w:abstractNum>
  <w:abstractNum w:abstractNumId="7">
    <w:nsid w:val="0B66474D"/>
    <w:multiLevelType w:val="singleLevel"/>
    <w:tmpl w:val="0B66474D"/>
    <w:lvl w:ilvl="0" w:tentative="0">
      <w:start w:val="1"/>
      <w:numFmt w:val="decimal"/>
      <w:lvlText w:val="%1."/>
      <w:lvlJc w:val="left"/>
      <w:pPr>
        <w:tabs>
          <w:tab w:val="left" w:pos="312"/>
        </w:tabs>
      </w:pPr>
      <w:rPr>
        <w:rFonts w:hint="default"/>
        <w:b/>
        <w:bCs/>
      </w:rPr>
    </w:lvl>
  </w:abstractNum>
  <w:abstractNum w:abstractNumId="8">
    <w:nsid w:val="57A80EF9"/>
    <w:multiLevelType w:val="singleLevel"/>
    <w:tmpl w:val="57A80EF9"/>
    <w:lvl w:ilvl="0" w:tentative="0">
      <w:start w:val="1"/>
      <w:numFmt w:val="decimal"/>
      <w:lvlText w:val="%1."/>
      <w:lvlJc w:val="left"/>
      <w:pPr>
        <w:tabs>
          <w:tab w:val="left" w:pos="312"/>
        </w:tabs>
      </w:pPr>
    </w:lvl>
  </w:abstractNum>
  <w:abstractNum w:abstractNumId="9">
    <w:nsid w:val="59D70F3D"/>
    <w:multiLevelType w:val="singleLevel"/>
    <w:tmpl w:val="59D70F3D"/>
    <w:lvl w:ilvl="0" w:tentative="0">
      <w:start w:val="1"/>
      <w:numFmt w:val="decimal"/>
      <w:suff w:val="nothing"/>
      <w:lvlText w:val="（%1）"/>
      <w:lvlJc w:val="left"/>
      <w:rPr>
        <w:rFonts w:hint="default"/>
        <w:b/>
        <w:bCs/>
      </w:rPr>
    </w:lvl>
  </w:abstractNum>
  <w:abstractNum w:abstractNumId="10">
    <w:nsid w:val="63127ED8"/>
    <w:multiLevelType w:val="singleLevel"/>
    <w:tmpl w:val="63127ED8"/>
    <w:lvl w:ilvl="0" w:tentative="0">
      <w:start w:val="1"/>
      <w:numFmt w:val="decimal"/>
      <w:lvlText w:val="%1."/>
      <w:lvlJc w:val="left"/>
      <w:pPr>
        <w:tabs>
          <w:tab w:val="left" w:pos="312"/>
        </w:tabs>
      </w:pPr>
      <w:rPr>
        <w:rFonts w:hint="default"/>
        <w:b/>
        <w:bCs/>
      </w:rPr>
    </w:lvl>
  </w:abstractNum>
  <w:abstractNum w:abstractNumId="11">
    <w:nsid w:val="6F7C1FD6"/>
    <w:multiLevelType w:val="singleLevel"/>
    <w:tmpl w:val="6F7C1FD6"/>
    <w:lvl w:ilvl="0" w:tentative="0">
      <w:start w:val="1"/>
      <w:numFmt w:val="chineseCounting"/>
      <w:suff w:val="nothing"/>
      <w:lvlText w:val="%1、"/>
      <w:lvlJc w:val="left"/>
      <w:rPr>
        <w:rFonts w:hint="eastAsia"/>
        <w:b/>
        <w:bCs/>
      </w:rPr>
    </w:lvl>
  </w:abstractNum>
  <w:num w:numId="1">
    <w:abstractNumId w:val="11"/>
  </w:num>
  <w:num w:numId="2">
    <w:abstractNumId w:val="8"/>
  </w:num>
  <w:num w:numId="3">
    <w:abstractNumId w:val="7"/>
  </w:num>
  <w:num w:numId="4">
    <w:abstractNumId w:val="9"/>
  </w:num>
  <w:num w:numId="5">
    <w:abstractNumId w:val="5"/>
  </w:num>
  <w:num w:numId="6">
    <w:abstractNumId w:val="10"/>
  </w:num>
  <w:num w:numId="7">
    <w:abstractNumId w:val="0"/>
  </w:num>
  <w:num w:numId="8">
    <w:abstractNumId w:val="4"/>
  </w:num>
  <w:num w:numId="9">
    <w:abstractNumId w:val="2"/>
  </w:num>
  <w:num w:numId="10">
    <w:abstractNumId w:val="6"/>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yYWU3OWJmMjVhYWExMDJhYTQwZDkyZTU5MDY5NGIifQ=="/>
  </w:docVars>
  <w:rsids>
    <w:rsidRoot w:val="022447AD"/>
    <w:rsid w:val="00DE3D9A"/>
    <w:rsid w:val="01FB0DC4"/>
    <w:rsid w:val="022447AD"/>
    <w:rsid w:val="02FA082F"/>
    <w:rsid w:val="05063A2F"/>
    <w:rsid w:val="054120EB"/>
    <w:rsid w:val="067F0936"/>
    <w:rsid w:val="075C1AB8"/>
    <w:rsid w:val="076444C8"/>
    <w:rsid w:val="096B45D1"/>
    <w:rsid w:val="09DE0562"/>
    <w:rsid w:val="0B5331D2"/>
    <w:rsid w:val="0C985340"/>
    <w:rsid w:val="0CF06F2A"/>
    <w:rsid w:val="0D355D32"/>
    <w:rsid w:val="0DA55B2A"/>
    <w:rsid w:val="0E016295"/>
    <w:rsid w:val="0E6010F9"/>
    <w:rsid w:val="0F135152"/>
    <w:rsid w:val="11E05726"/>
    <w:rsid w:val="13CE7899"/>
    <w:rsid w:val="145665DC"/>
    <w:rsid w:val="15A92C1E"/>
    <w:rsid w:val="16471475"/>
    <w:rsid w:val="16F41FB3"/>
    <w:rsid w:val="176E561B"/>
    <w:rsid w:val="18527DBA"/>
    <w:rsid w:val="18AB2FAA"/>
    <w:rsid w:val="197B401F"/>
    <w:rsid w:val="1BD23C9F"/>
    <w:rsid w:val="1C8925AF"/>
    <w:rsid w:val="1ED04586"/>
    <w:rsid w:val="1F3C0B35"/>
    <w:rsid w:val="1F4E5FB5"/>
    <w:rsid w:val="1F81173E"/>
    <w:rsid w:val="21080C19"/>
    <w:rsid w:val="2272152E"/>
    <w:rsid w:val="22D24636"/>
    <w:rsid w:val="233B7CFA"/>
    <w:rsid w:val="246A53BC"/>
    <w:rsid w:val="26004A24"/>
    <w:rsid w:val="26DC370B"/>
    <w:rsid w:val="28CE7402"/>
    <w:rsid w:val="291256ED"/>
    <w:rsid w:val="29475CCC"/>
    <w:rsid w:val="29492887"/>
    <w:rsid w:val="29611A07"/>
    <w:rsid w:val="2AE6789F"/>
    <w:rsid w:val="2B263ED4"/>
    <w:rsid w:val="2B285689"/>
    <w:rsid w:val="2C46158D"/>
    <w:rsid w:val="2F6A2714"/>
    <w:rsid w:val="307373A7"/>
    <w:rsid w:val="314450CD"/>
    <w:rsid w:val="31D836EA"/>
    <w:rsid w:val="3202046B"/>
    <w:rsid w:val="324B0732"/>
    <w:rsid w:val="327B5F34"/>
    <w:rsid w:val="33861354"/>
    <w:rsid w:val="34741569"/>
    <w:rsid w:val="35340778"/>
    <w:rsid w:val="35397C27"/>
    <w:rsid w:val="37412220"/>
    <w:rsid w:val="375A4E1C"/>
    <w:rsid w:val="37935A6C"/>
    <w:rsid w:val="38DF7CCF"/>
    <w:rsid w:val="38E726E0"/>
    <w:rsid w:val="3A165FDA"/>
    <w:rsid w:val="3BF66CD6"/>
    <w:rsid w:val="3C21415B"/>
    <w:rsid w:val="3C4B4601"/>
    <w:rsid w:val="3F3424C4"/>
    <w:rsid w:val="404D767F"/>
    <w:rsid w:val="41934DCA"/>
    <w:rsid w:val="42921C7A"/>
    <w:rsid w:val="42D71F86"/>
    <w:rsid w:val="457C4AF8"/>
    <w:rsid w:val="46804B1F"/>
    <w:rsid w:val="48C05B81"/>
    <w:rsid w:val="48D27E43"/>
    <w:rsid w:val="4A292E0A"/>
    <w:rsid w:val="4AA640CF"/>
    <w:rsid w:val="4DFC2AD6"/>
    <w:rsid w:val="50903205"/>
    <w:rsid w:val="50E054BA"/>
    <w:rsid w:val="510F1CDD"/>
    <w:rsid w:val="521106EE"/>
    <w:rsid w:val="522B0134"/>
    <w:rsid w:val="542D593B"/>
    <w:rsid w:val="543B5870"/>
    <w:rsid w:val="55CB4A71"/>
    <w:rsid w:val="570B67A9"/>
    <w:rsid w:val="57C27315"/>
    <w:rsid w:val="585B234B"/>
    <w:rsid w:val="58CF5325"/>
    <w:rsid w:val="59AE5C08"/>
    <w:rsid w:val="59CC3FB4"/>
    <w:rsid w:val="5B060C94"/>
    <w:rsid w:val="5B6065F6"/>
    <w:rsid w:val="5D446F5A"/>
    <w:rsid w:val="5DFC697C"/>
    <w:rsid w:val="5E055233"/>
    <w:rsid w:val="5E920270"/>
    <w:rsid w:val="665246FE"/>
    <w:rsid w:val="66A325B4"/>
    <w:rsid w:val="67E66410"/>
    <w:rsid w:val="6B270B6D"/>
    <w:rsid w:val="6C412230"/>
    <w:rsid w:val="6FB91069"/>
    <w:rsid w:val="704240C4"/>
    <w:rsid w:val="726220BD"/>
    <w:rsid w:val="72CD0CE2"/>
    <w:rsid w:val="74701212"/>
    <w:rsid w:val="76592168"/>
    <w:rsid w:val="76C63CAF"/>
    <w:rsid w:val="771E6DB9"/>
    <w:rsid w:val="787426AC"/>
    <w:rsid w:val="78DF5E48"/>
    <w:rsid w:val="7912685C"/>
    <w:rsid w:val="7A8D0524"/>
    <w:rsid w:val="7BA342E6"/>
    <w:rsid w:val="7C885555"/>
    <w:rsid w:val="7D5D078F"/>
    <w:rsid w:val="7DD50326"/>
    <w:rsid w:val="7F32591E"/>
    <w:rsid w:val="7F886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autoRedefine/>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8573</Words>
  <Characters>9259</Characters>
  <Lines>0</Lines>
  <Paragraphs>0</Paragraphs>
  <TotalTime>31</TotalTime>
  <ScaleCrop>false</ScaleCrop>
  <LinksUpToDate>false</LinksUpToDate>
  <CharactersWithSpaces>9312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2022-04-12T05:41:00Z</dcterms:created>
  <dc:creator>老马的文库丶</dc:creator>
  <cp:lastModifiedBy>冰冰⊙▽⊙＊</cp:lastModifiedBy>
  <cp:lastPrinted>2023-06-03T03:39:00Z</cp:lastPrinted>
  <dcterms:modified xsi:type="dcterms:W3CDTF">2024-07-24T09:25:09Z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AE2BE2093DA14F00AC2469E77A5B1DEA_13</vt:lpwstr>
  </property>
</Properties>
</file>