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12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12"/>
          <w:sz w:val="36"/>
          <w:szCs w:val="36"/>
          <w:shd w:val="clear" w:color="auto" w:fill="FFFFFF"/>
          <w:lang w:val="en-US" w:eastAsia="zh-CN"/>
        </w:rPr>
        <w:t>郑大经管</w:t>
      </w:r>
      <w:r>
        <w:rPr>
          <w:rFonts w:hint="default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12"/>
          <w:sz w:val="36"/>
          <w:szCs w:val="36"/>
          <w:shd w:val="clear" w:color="auto" w:fill="FFFFFF"/>
        </w:rPr>
        <w:t>企业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12"/>
          <w:sz w:val="36"/>
          <w:szCs w:val="36"/>
          <w:shd w:val="clear" w:color="auto" w:fill="FFFFFF"/>
          <w:lang w:val="en-US" w:eastAsia="zh-CN"/>
        </w:rPr>
        <w:t>定制内训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default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12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  <w:lang w:val="en-US" w:eastAsia="zh-CN"/>
        </w:rPr>
        <w:t>郑大经管</w:t>
      </w:r>
      <w:r>
        <w:rPr>
          <w:rFonts w:hint="default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  <w:t>企业管理科学研究院是一家专注于河南企业家培育成长、管理咨询、研学深造、人才孵化的专业商学教育平台，2014年成立以来，紧紧依托华商领军全国18家分教中心的资源优势和品牌影响力，结合河南中小企业发展现状，汇聚了国内外一大批专家学者、教授、经济学家、成功企业家和国家经济领域高层领导等师资团队亲临线下课程授课、咨询辅导、管理探究，致力于探索适合河南中小企业培育需求的继续教育运作模式，积极为广大中小企业公司治理、资本运营、集团管控、营销战略、品牌定位、运营加速、人才孵化等全方位的企业运营提供强有力的智慧支撑！研究院以“集全球智慧，成就民族企业家”为使命；以为地方经济和行业经济发展培养高级领军人才为目标；以“学员为中心、以成果为导向”为核心价值观，竭力打造中原非学历学位教育第一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  <w:lang w:val="en-US" w:eastAsia="zh-CN"/>
        </w:rPr>
        <w:t>郑大经管高管培训中心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  <w:t>紧紧把握时代发展的趋势，洞悉企业发展的需求，顺大势、谋大局，培育河南企业家上万余人，所开设的</w:t>
      </w:r>
      <w:r>
        <w:rPr>
          <w:rStyle w:val="5"/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  <w:t>《高净值董事长精修班》、《公司治理与资本运营金融研修班》、《高级工商管理EDBA核心课程班》、《企事业单位定制课程》、《新型建筑工业化高级研修班》、《EMBA创新管理班》、《国学班》及引进的国际名校《工商管理博士DBA学位班》、《金融硕士MF学位班》、《工商管理硕士MBA班》、《数字化经营与企业管理硕士班》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  <w:t>等项目深受河南企业家们的好评！平台在2019年被郑州市中小企业服务局授予“郑州市公共服务示范平台”。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i w:val="0"/>
          <w:iCs w:val="0"/>
          <w:caps w:val="0"/>
          <w:color w:val="000000"/>
          <w:spacing w:val="12"/>
          <w:sz w:val="24"/>
          <w:szCs w:val="24"/>
          <w:shd w:val="clear" w:color="auto" w:fill="FFFFFF"/>
        </w:rPr>
        <w:t>启迪领军梦想，赋能领军智慧，共进领军成长，领军企业管理科学研究院将用全局发展的眼光，系统性的思考与整合，加强平台建设，突出平台价值，构建平台格局，为广大企业家们搭建好一个正心、正念、正德的沟通交流与融合发展的生态平台，全面科学性地帮助中小企业走出企业经营困局，实现中小企业高质量发展，为河南乃至中国经济稳定健康发展做出应有贡献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OTE2MDYzMjExNWM2ODljMDE1ZjA2OGRkMDZlYzMifQ=="/>
  </w:docVars>
  <w:rsids>
    <w:rsidRoot w:val="00000000"/>
    <w:rsid w:val="255518C9"/>
    <w:rsid w:val="259D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2023-09-20T03:10:15Z</dcterms:created>
  <dc:creator>wjd</dc:creator>
  <cp:lastModifiedBy>冰冰⊙▽⊙＊</cp:lastModifiedBy>
  <dcterms:modified xsi:type="dcterms:W3CDTF">2023-09-22T04:40:28Z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03E29FBF903C4607BCDC680D13EED5D4_13</vt:lpwstr>
  </property>
</Properties>
</file>