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楷体" w:hAnsi="华文楷体" w:eastAsia="华文楷体" w:cs="华文楷体"/>
          <w:b/>
          <w:bCs/>
          <w:sz w:val="40"/>
          <w:szCs w:val="40"/>
          <w:lang w:val="en-US" w:eastAsia="zh-CN"/>
        </w:rPr>
      </w:pPr>
      <w:r>
        <w:rPr>
          <w:rFonts w:hint="eastAsia" w:ascii="华文楷体" w:hAnsi="华文楷体" w:eastAsia="华文楷体" w:cs="华文楷体"/>
          <w:b/>
          <w:bCs/>
          <w:sz w:val="40"/>
          <w:szCs w:val="40"/>
          <w:lang w:val="en-US" w:eastAsia="zh-CN"/>
        </w:rPr>
        <w:t>郑大经管公司治理与金融高级研修班</w:t>
      </w:r>
    </w:p>
    <w:p>
      <w:pPr>
        <w:jc w:val="center"/>
        <w:rPr>
          <w:rFonts w:hint="eastAsia" w:ascii="华文楷体" w:hAnsi="华文楷体" w:eastAsia="华文楷体" w:cs="华文楷体"/>
          <w:b/>
          <w:bCs/>
          <w:sz w:val="40"/>
          <w:szCs w:val="40"/>
          <w:lang w:val="en-US" w:eastAsia="zh-CN"/>
        </w:rPr>
      </w:pPr>
      <w:r>
        <w:rPr>
          <w:rFonts w:hint="eastAsia" w:ascii="华文楷体" w:hAnsi="华文楷体" w:eastAsia="华文楷体" w:cs="华文楷体"/>
          <w:b/>
          <w:bCs/>
          <w:sz w:val="40"/>
          <w:szCs w:val="40"/>
          <w:lang w:val="en-US" w:eastAsia="zh-CN"/>
        </w:rPr>
        <w:t>招生简章</w:t>
      </w:r>
    </w:p>
    <w:p>
      <w:pPr>
        <w:jc w:val="center"/>
        <w:rPr>
          <w:rFonts w:hint="eastAsia" w:ascii="华文楷体" w:hAnsi="华文楷体" w:eastAsia="华文楷体" w:cs="华文楷体"/>
          <w:sz w:val="40"/>
          <w:szCs w:val="40"/>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华文楷体" w:hAnsi="华文楷体" w:eastAsia="华文楷体" w:cs="华文楷体"/>
          <w:kern w:val="2"/>
          <w:sz w:val="24"/>
          <w:szCs w:val="24"/>
          <w:lang w:val="en-US" w:eastAsia="zh-CN" w:bidi="ar-SA"/>
        </w:rPr>
      </w:pPr>
      <w:r>
        <w:rPr>
          <w:rFonts w:hint="eastAsia" w:ascii="华文楷体" w:hAnsi="华文楷体" w:eastAsia="华文楷体" w:cs="华文楷体"/>
          <w:kern w:val="0"/>
          <w:sz w:val="24"/>
          <w:szCs w:val="24"/>
          <w:lang w:val="en-US" w:eastAsia="zh-CN" w:bidi="ar"/>
        </w:rPr>
        <w:t>“</w:t>
      </w:r>
      <w:r>
        <w:rPr>
          <w:rFonts w:hint="eastAsia" w:ascii="华文楷体" w:hAnsi="华文楷体" w:eastAsia="华文楷体" w:cs="华文楷体"/>
          <w:kern w:val="2"/>
          <w:sz w:val="24"/>
          <w:szCs w:val="24"/>
          <w:lang w:val="en-US" w:eastAsia="zh-CN" w:bidi="ar-SA"/>
        </w:rPr>
        <w:t>纵观世界上著名的大企业、大集团，几乎没有哪一家不是在某种程度上通过收购兼并等资本运营手段而发展起来的，也几乎没有哪一家是完全通过内部积累发展起来的。”​</w:t>
      </w:r>
      <w:r>
        <w:rPr>
          <w:rFonts w:hint="eastAsia" w:ascii="华文楷体" w:hAnsi="华文楷体" w:eastAsia="华文楷体" w:cs="华文楷体"/>
          <w:kern w:val="2"/>
          <w:sz w:val="24"/>
          <w:szCs w:val="24"/>
          <w:lang w:val="en-US" w:eastAsia="zh-CN" w:bidi="ar-SA"/>
        </w:rPr>
        <w:br w:type="textWrapping"/>
      </w:r>
      <w:r>
        <w:rPr>
          <w:rFonts w:hint="eastAsia" w:ascii="华文楷体" w:hAnsi="华文楷体" w:eastAsia="华文楷体" w:cs="华文楷体"/>
          <w:kern w:val="2"/>
          <w:sz w:val="24"/>
          <w:szCs w:val="24"/>
          <w:lang w:val="en-US" w:eastAsia="zh-CN" w:bidi="ar-SA"/>
        </w:rPr>
        <w:t xml:space="preserve">               ——诺贝尔经济学奖得主、美国著名经济学家乔治·斯蒂格勒</w:t>
      </w:r>
    </w:p>
    <w:p>
      <w:pPr>
        <w:jc w:val="center"/>
        <w:rPr>
          <w:rFonts w:hint="eastAsia" w:ascii="华文楷体" w:hAnsi="华文楷体" w:eastAsia="华文楷体" w:cs="华文楷体"/>
          <w:sz w:val="24"/>
          <w:szCs w:val="24"/>
          <w:lang w:val="en-US" w:eastAsia="zh-CN"/>
        </w:rPr>
      </w:pPr>
    </w:p>
    <w:p>
      <w:pPr>
        <w:jc w:val="both"/>
        <w:rPr>
          <w:rFonts w:hint="eastAsia" w:ascii="华文楷体" w:hAnsi="华文楷体" w:eastAsia="华文楷体" w:cs="华文楷体"/>
          <w:b/>
          <w:bCs/>
          <w:sz w:val="30"/>
          <w:szCs w:val="30"/>
          <w:lang w:val="en-US" w:eastAsia="zh-CN"/>
        </w:rPr>
      </w:pPr>
      <w:r>
        <w:rPr>
          <w:rFonts w:hint="eastAsia" w:ascii="华文楷体" w:hAnsi="华文楷体" w:eastAsia="华文楷体" w:cs="华文楷体"/>
          <w:b/>
          <w:bCs/>
          <w:sz w:val="30"/>
          <w:szCs w:val="30"/>
          <w:lang w:val="en-US" w:eastAsia="zh-CN"/>
        </w:rPr>
        <w:t>【项目背景】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华文楷体" w:hAnsi="华文楷体" w:eastAsia="华文楷体" w:cs="华文楷体"/>
          <w:kern w:val="0"/>
          <w:sz w:val="24"/>
          <w:szCs w:val="24"/>
          <w:lang w:val="en-US" w:eastAsia="zh-CN" w:bidi="ar"/>
        </w:rPr>
      </w:pPr>
      <w:r>
        <w:rPr>
          <w:rFonts w:hint="eastAsia" w:ascii="华文楷体" w:hAnsi="华文楷体" w:eastAsia="华文楷体" w:cs="华文楷体"/>
          <w:kern w:val="0"/>
          <w:sz w:val="24"/>
          <w:szCs w:val="24"/>
          <w:lang w:val="en-US" w:eastAsia="zh-CN" w:bidi="ar"/>
        </w:rPr>
        <w:t>后疫情时代，全球经济金融格局发生重大调整，在复杂多变的国际形势和充满不确定性的金融环境下，中国以及全球的金融体系都面临着创新变革的新挑战。尽管短期“寒冬出现”，但中国经济中长期前景向好也是各方共识之一。金融市场结构、产业结构和经济结构出现的显著变化，企业家该如何通过金融方式实现“破局”或新增长。</w:t>
      </w:r>
      <w:r>
        <w:rPr>
          <w:rFonts w:hint="eastAsia" w:ascii="华文楷体" w:hAnsi="华文楷体" w:eastAsia="华文楷体" w:cs="华文楷体"/>
          <w:kern w:val="0"/>
          <w:sz w:val="24"/>
          <w:szCs w:val="24"/>
          <w:lang w:val="en-US" w:eastAsia="zh-CN" w:bidi="ar"/>
        </w:rPr>
        <w:br w:type="textWrapping"/>
      </w:r>
      <w:r>
        <w:rPr>
          <w:rFonts w:hint="eastAsia" w:ascii="华文楷体" w:hAnsi="华文楷体" w:eastAsia="华文楷体" w:cs="华文楷体"/>
          <w:kern w:val="0"/>
          <w:sz w:val="24"/>
          <w:szCs w:val="24"/>
          <w:lang w:val="en-US" w:eastAsia="zh-CN" w:bidi="ar"/>
        </w:rPr>
        <w:t>   凝聚全球金融智慧，培养未来世界商界领袖，深入研判疫情对全球经济格局的影响，把脉新经济发展机遇，解惑企业在不确定经济环境中面临的挑战，在防范化解金融风险的同时，实现企业财富与个人财富的保值与增值。深度落地企业及企业家个人关心的热点难点，实现新的发展阶段。</w:t>
      </w:r>
    </w:p>
    <w:p>
      <w:pPr>
        <w:jc w:val="both"/>
        <w:rPr>
          <w:rFonts w:hint="eastAsia" w:ascii="华文楷体" w:hAnsi="华文楷体" w:eastAsia="华文楷体" w:cs="华文楷体"/>
          <w:b/>
          <w:bCs/>
          <w:sz w:val="30"/>
          <w:szCs w:val="30"/>
          <w:lang w:val="en-US" w:eastAsia="zh-CN"/>
        </w:rPr>
      </w:pPr>
      <w:r>
        <w:rPr>
          <w:rFonts w:hint="eastAsia" w:ascii="华文楷体" w:hAnsi="华文楷体" w:eastAsia="华文楷体" w:cs="华文楷体"/>
          <w:b/>
          <w:bCs/>
          <w:sz w:val="30"/>
          <w:szCs w:val="30"/>
          <w:lang w:val="en-US" w:eastAsia="zh-CN"/>
        </w:rPr>
        <w:t>【课程优势】</w:t>
      </w:r>
    </w:p>
    <w:p>
      <w:pPr>
        <w:numPr>
          <w:ilvl w:val="0"/>
          <w:numId w:val="1"/>
        </w:numPr>
        <w:jc w:val="both"/>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专业学习平台：河南唯一“211工程”重点高校；汇聚全国顶尖师资；郑州大学丰富的学习资源。</w:t>
      </w:r>
    </w:p>
    <w:p>
      <w:pPr>
        <w:numPr>
          <w:ilvl w:val="0"/>
          <w:numId w:val="1"/>
        </w:numPr>
        <w:jc w:val="both"/>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高端圈层资源：8000+实战董事长及高管精英、400+专业导师、全国各地校友联动。</w:t>
      </w:r>
    </w:p>
    <w:p>
      <w:pPr>
        <w:numPr>
          <w:ilvl w:val="0"/>
          <w:numId w:val="1"/>
        </w:numPr>
        <w:jc w:val="both"/>
        <w:rPr>
          <w:rFonts w:hint="eastAsia" w:ascii="华文楷体" w:hAnsi="华文楷体" w:eastAsia="华文楷体" w:cs="华文楷体"/>
          <w:sz w:val="30"/>
          <w:szCs w:val="30"/>
          <w:lang w:val="en-US" w:eastAsia="zh-CN"/>
        </w:rPr>
      </w:pPr>
      <w:r>
        <w:rPr>
          <w:rFonts w:hint="eastAsia" w:ascii="华文楷体" w:hAnsi="华文楷体" w:eastAsia="华文楷体" w:cs="华文楷体"/>
          <w:sz w:val="24"/>
          <w:szCs w:val="24"/>
          <w:lang w:val="en-US" w:eastAsia="zh-CN"/>
        </w:rPr>
        <w:t>全方位系统课程：第一课堂：构筑金融知识地基；第二课堂：走进金融机构实战实操。</w:t>
      </w:r>
    </w:p>
    <w:p>
      <w:pPr>
        <w:numPr>
          <w:ilvl w:val="0"/>
          <w:numId w:val="0"/>
        </w:numPr>
        <w:jc w:val="both"/>
        <w:rPr>
          <w:rFonts w:hint="eastAsia" w:ascii="华文楷体" w:hAnsi="华文楷体" w:eastAsia="华文楷体" w:cs="华文楷体"/>
          <w:sz w:val="30"/>
          <w:szCs w:val="30"/>
          <w:lang w:val="en-US" w:eastAsia="zh-CN"/>
        </w:rPr>
      </w:pPr>
      <w:r>
        <w:rPr>
          <w:rFonts w:hint="eastAsia" w:ascii="华文楷体" w:hAnsi="华文楷体" w:eastAsia="华文楷体" w:cs="华文楷体"/>
          <w:sz w:val="30"/>
          <w:szCs w:val="30"/>
          <w:lang w:val="en-US" w:eastAsia="zh-CN"/>
        </w:rPr>
        <w:t>【课程价值】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华文楷体" w:hAnsi="华文楷体" w:eastAsia="华文楷体" w:cs="华文楷体"/>
          <w:sz w:val="24"/>
          <w:szCs w:val="24"/>
        </w:rPr>
      </w:pPr>
      <w:r>
        <w:rPr>
          <w:rStyle w:val="6"/>
          <w:rFonts w:hint="eastAsia" w:ascii="华文楷体" w:hAnsi="华文楷体" w:eastAsia="华文楷体" w:cs="华文楷体"/>
          <w:color w:val="000000"/>
          <w:sz w:val="24"/>
          <w:szCs w:val="24"/>
        </w:rPr>
        <w:t>第一课堂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rPr>
        <w:t>传统金融+创新金融融合；公司金融+个人财富兼顾；理论+实操结合；层层深入，系统全面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华文楷体" w:hAnsi="华文楷体" w:eastAsia="华文楷体" w:cs="华文楷体"/>
          <w:color w:val="00000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华文楷体" w:hAnsi="华文楷体" w:eastAsia="华文楷体" w:cs="华文楷体"/>
          <w:sz w:val="24"/>
          <w:szCs w:val="24"/>
        </w:rPr>
      </w:pPr>
      <w:r>
        <w:rPr>
          <w:rStyle w:val="6"/>
          <w:rFonts w:hint="eastAsia" w:ascii="华文楷体" w:hAnsi="华文楷体" w:eastAsia="华文楷体" w:cs="华文楷体"/>
          <w:color w:val="000000"/>
          <w:sz w:val="24"/>
          <w:szCs w:val="24"/>
        </w:rPr>
        <w:t>第二课堂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华文楷体" w:hAnsi="华文楷体" w:eastAsia="华文楷体" w:cs="华文楷体"/>
          <w:color w:val="000000"/>
          <w:sz w:val="24"/>
          <w:szCs w:val="24"/>
        </w:rPr>
      </w:pPr>
      <w:r>
        <w:rPr>
          <w:rFonts w:hint="eastAsia" w:ascii="华文楷体" w:hAnsi="华文楷体" w:eastAsia="华文楷体" w:cs="华文楷体"/>
          <w:color w:val="000000"/>
          <w:sz w:val="24"/>
          <w:szCs w:val="24"/>
        </w:rPr>
        <w:t>国内股权交易中心、证券机构、基金公司等金融机构实地学习现场实践课程内容， 专业导师现场点评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6"/>
          <w:rFonts w:hint="eastAsia" w:ascii="华文楷体" w:hAnsi="华文楷体" w:eastAsia="华文楷体" w:cs="华文楷体"/>
          <w:color w:val="00000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华文楷体" w:hAnsi="华文楷体" w:eastAsia="华文楷体" w:cs="华文楷体"/>
          <w:sz w:val="24"/>
          <w:szCs w:val="24"/>
        </w:rPr>
      </w:pPr>
      <w:r>
        <w:rPr>
          <w:rStyle w:val="6"/>
          <w:rFonts w:hint="eastAsia" w:ascii="华文楷体" w:hAnsi="华文楷体" w:eastAsia="华文楷体" w:cs="华文楷体"/>
          <w:color w:val="000000"/>
          <w:sz w:val="24"/>
          <w:szCs w:val="24"/>
        </w:rPr>
        <w:t>学习衔接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华文楷体" w:hAnsi="华文楷体" w:eastAsia="华文楷体" w:cs="华文楷体"/>
          <w:sz w:val="24"/>
          <w:szCs w:val="24"/>
        </w:rPr>
      </w:pPr>
      <w:r>
        <w:rPr>
          <w:rFonts w:hint="eastAsia" w:ascii="华文楷体" w:hAnsi="华文楷体" w:eastAsia="华文楷体" w:cs="华文楷体"/>
          <w:color w:val="000000"/>
          <w:sz w:val="24"/>
          <w:szCs w:val="24"/>
        </w:rPr>
        <w:t>课程学习+实践提升：赋能自身成长，实现金融学识交流，智慧交锋，顺势而上</w:t>
      </w:r>
    </w:p>
    <w:p>
      <w:pPr>
        <w:numPr>
          <w:ilvl w:val="0"/>
          <w:numId w:val="0"/>
        </w:numPr>
        <w:jc w:val="both"/>
        <w:rPr>
          <w:rFonts w:hint="eastAsia" w:ascii="华文楷体" w:hAnsi="华文楷体" w:eastAsia="华文楷体" w:cs="华文楷体"/>
          <w:b/>
          <w:bCs/>
          <w:sz w:val="30"/>
          <w:szCs w:val="30"/>
          <w:lang w:val="en-US" w:eastAsia="zh-CN"/>
        </w:rPr>
      </w:pPr>
      <w:r>
        <w:rPr>
          <w:rFonts w:hint="eastAsia" w:ascii="华文楷体" w:hAnsi="华文楷体" w:eastAsia="华文楷体" w:cs="华文楷体"/>
          <w:b/>
          <w:bCs/>
          <w:sz w:val="30"/>
          <w:szCs w:val="30"/>
          <w:lang w:val="en-US" w:eastAsia="zh-CN"/>
        </w:rPr>
        <w:t>【课程设置】</w:t>
      </w:r>
    </w:p>
    <w:tbl>
      <w:tblPr>
        <w:tblStyle w:val="4"/>
        <w:tblW w:w="9480" w:type="dxa"/>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0"/>
        <w:gridCol w:w="4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0" w:type="dxa"/>
          </w:tcPr>
          <w:p>
            <w:pPr>
              <w:numPr>
                <w:ilvl w:val="0"/>
                <w:numId w:val="0"/>
              </w:numPr>
              <w:jc w:val="both"/>
              <w:rPr>
                <w:rFonts w:hint="eastAsia" w:ascii="华文楷体" w:hAnsi="华文楷体" w:eastAsia="华文楷体" w:cs="华文楷体"/>
                <w:sz w:val="21"/>
                <w:szCs w:val="21"/>
                <w:vertAlign w:val="baseline"/>
                <w:lang w:val="en-US" w:eastAsia="zh-CN"/>
              </w:rPr>
            </w:pPr>
            <w:r>
              <w:rPr>
                <w:rFonts w:hint="eastAsia" w:ascii="华文楷体" w:hAnsi="华文楷体" w:eastAsia="华文楷体" w:cs="华文楷体"/>
                <w:color w:val="auto"/>
                <w:spacing w:val="40"/>
                <w:kern w:val="0"/>
                <w:sz w:val="28"/>
                <w:szCs w:val="28"/>
                <w:shd w:val="clear" w:fill="D6A841"/>
                <w:lang w:val="en-US" w:eastAsia="zh-CN" w:bidi="ar"/>
              </w:rPr>
              <w:t xml:space="preserve">模块一 宏观经济 </w:t>
            </w:r>
          </w:p>
        </w:tc>
        <w:tc>
          <w:tcPr>
            <w:tcW w:w="477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华文楷体" w:hAnsi="华文楷体" w:eastAsia="华文楷体" w:cs="华文楷体"/>
                <w:sz w:val="21"/>
                <w:szCs w:val="21"/>
                <w:vertAlign w:val="baseline"/>
                <w:lang w:val="en-US" w:eastAsia="zh-CN"/>
              </w:rPr>
            </w:pPr>
            <w:r>
              <w:rPr>
                <w:rFonts w:hint="eastAsia" w:ascii="华文楷体" w:hAnsi="华文楷体" w:eastAsia="华文楷体" w:cs="华文楷体"/>
                <w:spacing w:val="40"/>
                <w:sz w:val="21"/>
                <w:szCs w:val="21"/>
                <w:shd w:val="clear" w:fill="D6A841"/>
              </w:rPr>
              <w:t> </w:t>
            </w:r>
            <w:r>
              <w:rPr>
                <w:rFonts w:hint="eastAsia" w:ascii="华文楷体" w:hAnsi="华文楷体" w:eastAsia="华文楷体" w:cs="华文楷体"/>
                <w:color w:val="auto"/>
                <w:spacing w:val="40"/>
                <w:sz w:val="28"/>
                <w:szCs w:val="28"/>
                <w:shd w:val="clear" w:fill="D6A841"/>
              </w:rPr>
              <w:t>模块二 股权</w:t>
            </w:r>
            <w:r>
              <w:rPr>
                <w:rFonts w:hint="eastAsia" w:ascii="华文楷体" w:hAnsi="华文楷体" w:eastAsia="华文楷体" w:cs="华文楷体"/>
                <w:color w:val="auto"/>
                <w:spacing w:val="40"/>
                <w:sz w:val="28"/>
                <w:szCs w:val="28"/>
                <w:shd w:val="clear" w:fill="D6A841"/>
                <w:lang w:val="en-US" w:eastAsia="zh-CN"/>
              </w:rPr>
              <w:t>结构</w:t>
            </w:r>
            <w:r>
              <w:rPr>
                <w:rFonts w:hint="eastAsia" w:ascii="华文楷体" w:hAnsi="华文楷体" w:eastAsia="华文楷体" w:cs="华文楷体"/>
                <w:color w:val="auto"/>
                <w:spacing w:val="40"/>
                <w:sz w:val="28"/>
                <w:szCs w:val="28"/>
                <w:shd w:val="clear" w:fill="D6A841"/>
              </w:rPr>
              <w:t>与</w:t>
            </w:r>
            <w:r>
              <w:rPr>
                <w:rFonts w:hint="eastAsia" w:ascii="华文楷体" w:hAnsi="华文楷体" w:eastAsia="华文楷体" w:cs="华文楷体"/>
                <w:color w:val="auto"/>
                <w:spacing w:val="40"/>
                <w:sz w:val="28"/>
                <w:szCs w:val="28"/>
                <w:shd w:val="clear" w:fill="D6A841"/>
                <w:lang w:val="en-US" w:eastAsia="zh-CN"/>
              </w:rPr>
              <w:t>股权激励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世界经济形势分析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中美贸易战的背景与逻辑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color w:val="000000"/>
                <w:spacing w:val="11"/>
                <w:sz w:val="21"/>
                <w:szCs w:val="21"/>
                <w:shd w:val="clear" w:fill="FFFFFF"/>
              </w:rPr>
            </w:pPr>
            <w:r>
              <w:rPr>
                <w:rFonts w:hint="eastAsia" w:ascii="华文楷体" w:hAnsi="华文楷体" w:eastAsia="华文楷体" w:cs="华文楷体"/>
                <w:color w:val="000000"/>
                <w:spacing w:val="11"/>
                <w:sz w:val="21"/>
                <w:szCs w:val="21"/>
                <w:shd w:val="clear" w:fill="FFFFFF"/>
              </w:rPr>
              <w:t>中国经济转型升级的机遇与痛点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中国宏观经济与宏观调控政策分析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color w:val="000000"/>
                <w:spacing w:val="11"/>
                <w:sz w:val="21"/>
                <w:szCs w:val="21"/>
                <w:shd w:val="clear" w:fill="FFFFFF"/>
                <w:lang w:val="en-US" w:eastAsia="zh-CN"/>
              </w:rPr>
            </w:pPr>
            <w:r>
              <w:rPr>
                <w:rFonts w:hint="eastAsia" w:ascii="华文楷体" w:hAnsi="华文楷体" w:eastAsia="华文楷体" w:cs="华文楷体"/>
                <w:color w:val="000000"/>
                <w:spacing w:val="11"/>
                <w:sz w:val="21"/>
                <w:szCs w:val="21"/>
                <w:shd w:val="clear" w:fill="FFFFFF"/>
              </w:rPr>
              <w:t>热点行业解读</w:t>
            </w:r>
            <w:r>
              <w:rPr>
                <w:rFonts w:hint="eastAsia" w:ascii="华文楷体" w:hAnsi="华文楷体" w:eastAsia="华文楷体" w:cs="华文楷体"/>
                <w:color w:val="000000"/>
                <w:spacing w:val="11"/>
                <w:sz w:val="21"/>
                <w:szCs w:val="21"/>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z w:val="21"/>
                <w:szCs w:val="21"/>
                <w:vertAlign w:val="baseline"/>
                <w:lang w:val="en-US" w:eastAsia="zh-CN"/>
              </w:rPr>
            </w:pPr>
            <w:r>
              <w:rPr>
                <w:rFonts w:hint="eastAsia" w:ascii="华文楷体" w:hAnsi="华文楷体" w:eastAsia="华文楷体" w:cs="华文楷体"/>
                <w:color w:val="000000"/>
                <w:spacing w:val="11"/>
                <w:sz w:val="21"/>
                <w:szCs w:val="21"/>
                <w:shd w:val="clear" w:fill="FFFFFF"/>
              </w:rPr>
              <w:t>新常态的产业机遇</w:t>
            </w:r>
          </w:p>
        </w:tc>
        <w:tc>
          <w:tcPr>
            <w:tcW w:w="477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color w:val="000000"/>
                <w:spacing w:val="11"/>
                <w:sz w:val="21"/>
                <w:szCs w:val="21"/>
                <w:shd w:val="clear" w:fill="FFFFFF"/>
              </w:rPr>
            </w:pPr>
            <w:r>
              <w:rPr>
                <w:rFonts w:hint="eastAsia" w:ascii="华文楷体" w:hAnsi="华文楷体" w:eastAsia="华文楷体" w:cs="华文楷体"/>
                <w:color w:val="000000"/>
                <w:spacing w:val="11"/>
                <w:sz w:val="21"/>
                <w:szCs w:val="21"/>
                <w:shd w:val="clear" w:fill="FFFFFF"/>
              </w:rPr>
              <w:t>股权激励类别和适用条件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color w:val="000000"/>
                <w:spacing w:val="11"/>
                <w:sz w:val="21"/>
                <w:szCs w:val="21"/>
                <w:shd w:val="clear" w:fill="FFFFFF"/>
              </w:rPr>
            </w:pPr>
            <w:r>
              <w:rPr>
                <w:rFonts w:hint="eastAsia" w:ascii="华文楷体" w:hAnsi="华文楷体" w:eastAsia="华文楷体" w:cs="华文楷体"/>
                <w:color w:val="000000"/>
                <w:spacing w:val="11"/>
                <w:sz w:val="21"/>
                <w:szCs w:val="21"/>
                <w:shd w:val="clear" w:fill="FFFFFF"/>
              </w:rPr>
              <w:t>股权激励设计与案例分析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color w:val="000000"/>
                <w:spacing w:val="11"/>
                <w:sz w:val="21"/>
                <w:szCs w:val="21"/>
                <w:shd w:val="clear" w:fill="FFFFFF"/>
              </w:rPr>
            </w:pPr>
            <w:r>
              <w:rPr>
                <w:rFonts w:hint="eastAsia" w:ascii="华文楷体" w:hAnsi="华文楷体" w:eastAsia="华文楷体" w:cs="华文楷体"/>
                <w:color w:val="000000"/>
                <w:spacing w:val="11"/>
                <w:sz w:val="21"/>
                <w:szCs w:val="21"/>
                <w:shd w:val="clear" w:fill="FFFFFF"/>
              </w:rPr>
              <w:t>公司股权布局方式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color w:val="000000"/>
                <w:spacing w:val="11"/>
                <w:sz w:val="21"/>
                <w:szCs w:val="21"/>
                <w:shd w:val="clear" w:fill="FFFFFF"/>
              </w:rPr>
            </w:pPr>
            <w:r>
              <w:rPr>
                <w:rFonts w:hint="eastAsia" w:ascii="华文楷体" w:hAnsi="华文楷体" w:eastAsia="华文楷体" w:cs="华文楷体"/>
                <w:color w:val="000000"/>
                <w:spacing w:val="11"/>
                <w:sz w:val="21"/>
                <w:szCs w:val="21"/>
                <w:shd w:val="clear" w:fill="FFFFFF"/>
              </w:rPr>
              <w:t>股权分配的底线与“防火墙”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color w:val="000000"/>
                <w:spacing w:val="11"/>
                <w:sz w:val="21"/>
                <w:szCs w:val="21"/>
                <w:shd w:val="clear" w:fill="FFFFFF"/>
              </w:rPr>
            </w:pPr>
            <w:r>
              <w:rPr>
                <w:rFonts w:hint="eastAsia" w:ascii="华文楷体" w:hAnsi="华文楷体" w:eastAsia="华文楷体" w:cs="华文楷体"/>
                <w:color w:val="000000"/>
                <w:spacing w:val="11"/>
                <w:sz w:val="21"/>
                <w:szCs w:val="21"/>
                <w:shd w:val="clear" w:fill="FFFFFF"/>
              </w:rPr>
              <w:t>创始人保护机制与股东考核机制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z w:val="21"/>
                <w:szCs w:val="21"/>
                <w:vertAlign w:val="baseline"/>
                <w:lang w:val="en-US" w:eastAsia="zh-CN"/>
              </w:rPr>
            </w:pPr>
            <w:r>
              <w:rPr>
                <w:rFonts w:hint="eastAsia" w:ascii="华文楷体" w:hAnsi="华文楷体" w:eastAsia="华文楷体" w:cs="华文楷体"/>
                <w:color w:val="000000"/>
                <w:spacing w:val="11"/>
                <w:sz w:val="21"/>
                <w:szCs w:val="21"/>
                <w:shd w:val="clear" w:fill="FFFFFF"/>
              </w:rPr>
              <w:t>以股权结构为基础的创新型融资模式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0" w:type="dxa"/>
          </w:tcPr>
          <w:p>
            <w:pPr>
              <w:numPr>
                <w:ilvl w:val="0"/>
                <w:numId w:val="0"/>
              </w:numPr>
              <w:jc w:val="both"/>
              <w:rPr>
                <w:rFonts w:hint="eastAsia" w:ascii="华文楷体" w:hAnsi="华文楷体" w:eastAsia="华文楷体" w:cs="华文楷体"/>
                <w:sz w:val="21"/>
                <w:szCs w:val="21"/>
                <w:vertAlign w:val="baseline"/>
                <w:lang w:val="en-US" w:eastAsia="zh-CN"/>
              </w:rPr>
            </w:pPr>
            <w:r>
              <w:rPr>
                <w:rFonts w:hint="eastAsia" w:ascii="华文楷体" w:hAnsi="华文楷体" w:eastAsia="华文楷体" w:cs="华文楷体"/>
                <w:color w:val="auto"/>
                <w:spacing w:val="40"/>
                <w:kern w:val="0"/>
                <w:sz w:val="28"/>
                <w:szCs w:val="28"/>
                <w:shd w:val="clear" w:fill="D6A841"/>
                <w:lang w:val="en-US" w:eastAsia="zh-CN" w:bidi="ar"/>
              </w:rPr>
              <w:t>模块三  商业模式设计</w:t>
            </w:r>
          </w:p>
        </w:tc>
        <w:tc>
          <w:tcPr>
            <w:tcW w:w="477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华文楷体" w:hAnsi="华文楷体" w:eastAsia="华文楷体" w:cs="华文楷体"/>
                <w:sz w:val="21"/>
                <w:szCs w:val="21"/>
                <w:vertAlign w:val="baseline"/>
                <w:lang w:val="en-US" w:eastAsia="zh-CN"/>
              </w:rPr>
            </w:pPr>
            <w:r>
              <w:rPr>
                <w:rFonts w:hint="eastAsia" w:ascii="华文楷体" w:hAnsi="华文楷体" w:eastAsia="华文楷体" w:cs="华文楷体"/>
                <w:color w:val="auto"/>
                <w:spacing w:val="40"/>
                <w:kern w:val="0"/>
                <w:sz w:val="28"/>
                <w:szCs w:val="28"/>
                <w:shd w:val="clear" w:fill="D6A841"/>
                <w:lang w:val="en-US" w:eastAsia="zh-CN" w:bidi="ar"/>
              </w:rPr>
              <w:t>模块四  企业并购与重组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color w:val="000000"/>
                <w:spacing w:val="11"/>
                <w:sz w:val="21"/>
                <w:szCs w:val="21"/>
                <w:shd w:val="clear" w:fill="FFFFFF"/>
              </w:rPr>
            </w:pPr>
            <w:r>
              <w:rPr>
                <w:rFonts w:hint="eastAsia" w:ascii="华文楷体" w:hAnsi="华文楷体" w:eastAsia="华文楷体" w:cs="华文楷体"/>
                <w:color w:val="000000"/>
                <w:spacing w:val="11"/>
                <w:sz w:val="21"/>
                <w:szCs w:val="21"/>
                <w:shd w:val="clear" w:fill="FFFFFF"/>
              </w:rPr>
              <w:t>什么是商业模式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典型商业模式案例解析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设计商业模式的必备知识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color w:val="000000"/>
                <w:spacing w:val="11"/>
                <w:sz w:val="21"/>
                <w:szCs w:val="21"/>
                <w:shd w:val="clear" w:fill="FFFFFF"/>
              </w:rPr>
            </w:pPr>
            <w:r>
              <w:rPr>
                <w:rFonts w:hint="eastAsia" w:ascii="华文楷体" w:hAnsi="华文楷体" w:eastAsia="华文楷体" w:cs="华文楷体"/>
                <w:color w:val="000000"/>
                <w:spacing w:val="11"/>
                <w:sz w:val="21"/>
                <w:szCs w:val="21"/>
                <w:shd w:val="clear" w:fill="FFFFFF"/>
              </w:rPr>
              <w:t>商业模式设计与谋划要点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商业逻辑框架搭建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z w:val="21"/>
                <w:szCs w:val="21"/>
                <w:vertAlign w:val="baseline"/>
                <w:lang w:val="en-US" w:eastAsia="zh-CN"/>
              </w:rPr>
            </w:pPr>
            <w:r>
              <w:rPr>
                <w:rFonts w:hint="eastAsia" w:ascii="华文楷体" w:hAnsi="华文楷体" w:eastAsia="华文楷体" w:cs="华文楷体"/>
                <w:color w:val="000000"/>
                <w:spacing w:val="11"/>
                <w:sz w:val="21"/>
                <w:szCs w:val="21"/>
                <w:shd w:val="clear" w:fill="FFFFFF"/>
              </w:rPr>
              <w:t>商业模式的战略选择</w:t>
            </w:r>
          </w:p>
        </w:tc>
        <w:tc>
          <w:tcPr>
            <w:tcW w:w="477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公司估值方法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并购重组的策略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并购重组需要关注的风险及应对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color w:val="000000"/>
                <w:spacing w:val="11"/>
                <w:sz w:val="21"/>
                <w:szCs w:val="21"/>
                <w:shd w:val="clear" w:fill="FFFFFF"/>
              </w:rPr>
            </w:pPr>
            <w:r>
              <w:rPr>
                <w:rFonts w:hint="eastAsia" w:ascii="华文楷体" w:hAnsi="华文楷体" w:eastAsia="华文楷体" w:cs="华文楷体"/>
                <w:color w:val="000000"/>
                <w:spacing w:val="11"/>
                <w:sz w:val="21"/>
                <w:szCs w:val="21"/>
                <w:shd w:val="clear" w:fill="FFFFFF"/>
              </w:rPr>
              <w:t>文化的冲突与整合应对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Style w:val="6"/>
                <w:rFonts w:hint="eastAsia" w:ascii="华文楷体" w:hAnsi="华文楷体" w:eastAsia="华文楷体" w:cs="华文楷体"/>
                <w:color w:val="000000"/>
                <w:spacing w:val="11"/>
                <w:sz w:val="21"/>
                <w:szCs w:val="21"/>
                <w:shd w:val="clear" w:fill="FFFFFF"/>
              </w:rPr>
            </w:pPr>
            <w:r>
              <w:rPr>
                <w:rFonts w:hint="eastAsia" w:ascii="华文楷体" w:hAnsi="华文楷体" w:eastAsia="华文楷体" w:cs="华文楷体"/>
                <w:color w:val="000000"/>
                <w:spacing w:val="11"/>
                <w:sz w:val="21"/>
                <w:szCs w:val="21"/>
                <w:shd w:val="clear" w:fill="FFFFFF"/>
              </w:rPr>
              <w:t>并购重组中的估值</w:t>
            </w:r>
            <w:r>
              <w:rPr>
                <w:rStyle w:val="6"/>
                <w:rFonts w:hint="eastAsia" w:ascii="华文楷体" w:hAnsi="华文楷体" w:eastAsia="华文楷体" w:cs="华文楷体"/>
                <w:color w:val="000000"/>
                <w:spacing w:val="11"/>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重组借壳上市资本运作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z w:val="21"/>
                <w:szCs w:val="21"/>
                <w:vertAlign w:val="baseline"/>
                <w:lang w:val="en-US" w:eastAsia="zh-CN"/>
              </w:rPr>
            </w:pPr>
            <w:r>
              <w:rPr>
                <w:rFonts w:hint="eastAsia" w:ascii="华文楷体" w:hAnsi="华文楷体" w:eastAsia="华文楷体" w:cs="华文楷体"/>
                <w:color w:val="000000"/>
                <w:spacing w:val="11"/>
                <w:sz w:val="21"/>
                <w:szCs w:val="21"/>
                <w:shd w:val="clear"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0" w:type="dxa"/>
          </w:tcPr>
          <w:p>
            <w:pPr>
              <w:numPr>
                <w:ilvl w:val="0"/>
                <w:numId w:val="0"/>
              </w:numPr>
              <w:jc w:val="both"/>
              <w:rPr>
                <w:rFonts w:hint="eastAsia" w:ascii="华文楷体" w:hAnsi="华文楷体" w:eastAsia="华文楷体" w:cs="华文楷体"/>
                <w:sz w:val="21"/>
                <w:szCs w:val="21"/>
                <w:vertAlign w:val="baseline"/>
                <w:lang w:val="en-US" w:eastAsia="zh-CN"/>
              </w:rPr>
            </w:pPr>
            <w:r>
              <w:rPr>
                <w:rFonts w:hint="eastAsia" w:ascii="华文楷体" w:hAnsi="华文楷体" w:eastAsia="华文楷体" w:cs="华文楷体"/>
                <w:color w:val="auto"/>
                <w:spacing w:val="40"/>
                <w:kern w:val="0"/>
                <w:sz w:val="28"/>
                <w:szCs w:val="28"/>
                <w:shd w:val="clear" w:fill="D6A841"/>
                <w:lang w:val="en-US" w:eastAsia="zh-CN" w:bidi="ar"/>
              </w:rPr>
              <w:t>模块五 私募股权与证券投资</w:t>
            </w:r>
          </w:p>
        </w:tc>
        <w:tc>
          <w:tcPr>
            <w:tcW w:w="4770" w:type="dxa"/>
          </w:tcPr>
          <w:p>
            <w:pPr>
              <w:numPr>
                <w:ilvl w:val="0"/>
                <w:numId w:val="0"/>
              </w:numPr>
              <w:jc w:val="both"/>
              <w:rPr>
                <w:rFonts w:hint="eastAsia" w:ascii="华文楷体" w:hAnsi="华文楷体" w:eastAsia="华文楷体" w:cs="华文楷体"/>
                <w:sz w:val="21"/>
                <w:szCs w:val="21"/>
                <w:vertAlign w:val="baseline"/>
                <w:lang w:val="en-US" w:eastAsia="zh-CN"/>
              </w:rPr>
            </w:pPr>
            <w:r>
              <w:rPr>
                <w:rFonts w:hint="eastAsia" w:ascii="华文楷体" w:hAnsi="华文楷体" w:eastAsia="华文楷体" w:cs="华文楷体"/>
                <w:color w:val="auto"/>
                <w:spacing w:val="40"/>
                <w:kern w:val="0"/>
                <w:sz w:val="28"/>
                <w:szCs w:val="28"/>
                <w:shd w:val="clear" w:fill="D6A841"/>
                <w:lang w:val="en-US" w:eastAsia="zh-CN" w:bidi="ar"/>
              </w:rPr>
              <w:t xml:space="preserve">模块六  财税管理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私募股权基金行业的宏观分析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私募股权基金的运作方式及获利模式解析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资本市场私募股权基金法律与政策解析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私募股权基金的项目选择与投融资操作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color w:val="000000"/>
                <w:spacing w:val="11"/>
                <w:sz w:val="21"/>
                <w:szCs w:val="21"/>
                <w:shd w:val="clear" w:fill="FFFFFF"/>
              </w:rPr>
            </w:pPr>
            <w:r>
              <w:rPr>
                <w:rFonts w:hint="eastAsia" w:ascii="华文楷体" w:hAnsi="华文楷体" w:eastAsia="华文楷体" w:cs="华文楷体"/>
                <w:color w:val="000000"/>
                <w:spacing w:val="11"/>
                <w:sz w:val="21"/>
                <w:szCs w:val="21"/>
                <w:shd w:val="clear" w:fill="FFFFFF"/>
              </w:rPr>
              <w:t>私募股权投资基金的组织形式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z w:val="21"/>
                <w:szCs w:val="21"/>
                <w:vertAlign w:val="baseline"/>
                <w:lang w:val="en-US" w:eastAsia="zh-CN"/>
              </w:rPr>
            </w:pPr>
            <w:r>
              <w:rPr>
                <w:rFonts w:hint="eastAsia" w:ascii="华文楷体" w:hAnsi="华文楷体" w:eastAsia="华文楷体" w:cs="华文楷体"/>
                <w:color w:val="000000"/>
                <w:spacing w:val="11"/>
                <w:sz w:val="21"/>
                <w:szCs w:val="21"/>
                <w:shd w:val="clear" w:fill="FFFFFF"/>
              </w:rPr>
              <w:t>私募基金的投后管理与股权增值</w:t>
            </w:r>
          </w:p>
        </w:tc>
        <w:tc>
          <w:tcPr>
            <w:tcW w:w="477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企业经营的本质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资产负债表、利润表、现金流量表解读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color w:val="000000"/>
                <w:spacing w:val="11"/>
                <w:sz w:val="21"/>
                <w:szCs w:val="21"/>
                <w:shd w:val="clear" w:fill="FFFFFF"/>
              </w:rPr>
            </w:pPr>
            <w:r>
              <w:rPr>
                <w:rFonts w:hint="eastAsia" w:ascii="华文楷体" w:hAnsi="华文楷体" w:eastAsia="华文楷体" w:cs="华文楷体"/>
                <w:color w:val="000000"/>
                <w:spacing w:val="11"/>
                <w:sz w:val="21"/>
                <w:szCs w:val="21"/>
                <w:shd w:val="clear" w:fill="FFFFFF"/>
              </w:rPr>
              <w:t>企业成本管理与企业预算管理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税务筹划体系的建立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所得税与增值税纳税的具体操作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企业兼营不同税率、应税和免税项目案例分析</w:t>
            </w:r>
          </w:p>
          <w:p>
            <w:pPr>
              <w:numPr>
                <w:ilvl w:val="0"/>
                <w:numId w:val="0"/>
              </w:numPr>
              <w:jc w:val="both"/>
              <w:rPr>
                <w:rFonts w:hint="eastAsia" w:ascii="华文楷体" w:hAnsi="华文楷体" w:eastAsia="华文楷体" w:cs="华文楷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710" w:type="dxa"/>
          </w:tcPr>
          <w:p>
            <w:pPr>
              <w:numPr>
                <w:ilvl w:val="0"/>
                <w:numId w:val="0"/>
              </w:numPr>
              <w:jc w:val="both"/>
              <w:rPr>
                <w:rFonts w:hint="eastAsia" w:ascii="华文楷体" w:hAnsi="华文楷体" w:eastAsia="华文楷体" w:cs="华文楷体"/>
                <w:color w:val="auto"/>
                <w:spacing w:val="40"/>
                <w:kern w:val="0"/>
                <w:sz w:val="28"/>
                <w:szCs w:val="28"/>
                <w:shd w:val="clear" w:fill="D6A841"/>
                <w:lang w:val="en-US" w:eastAsia="zh-CN" w:bidi="ar"/>
              </w:rPr>
            </w:pPr>
            <w:r>
              <w:rPr>
                <w:rFonts w:hint="eastAsia" w:ascii="华文楷体" w:hAnsi="华文楷体" w:eastAsia="华文楷体" w:cs="华文楷体"/>
                <w:color w:val="auto"/>
                <w:spacing w:val="40"/>
                <w:kern w:val="0"/>
                <w:sz w:val="28"/>
                <w:szCs w:val="28"/>
                <w:shd w:val="clear" w:fill="D6A841"/>
                <w:lang w:val="en-US" w:eastAsia="zh-CN" w:bidi="ar"/>
              </w:rPr>
              <w:t xml:space="preserve">模块七  互联网金融 </w:t>
            </w:r>
          </w:p>
        </w:tc>
        <w:tc>
          <w:tcPr>
            <w:tcW w:w="4770" w:type="dxa"/>
          </w:tcPr>
          <w:p>
            <w:pPr>
              <w:numPr>
                <w:ilvl w:val="0"/>
                <w:numId w:val="0"/>
              </w:numPr>
              <w:jc w:val="both"/>
              <w:rPr>
                <w:rFonts w:hint="eastAsia" w:ascii="华文楷体" w:hAnsi="华文楷体" w:eastAsia="华文楷体" w:cs="华文楷体"/>
                <w:color w:val="auto"/>
                <w:spacing w:val="40"/>
                <w:kern w:val="0"/>
                <w:sz w:val="28"/>
                <w:szCs w:val="28"/>
                <w:shd w:val="clear" w:fill="D6A841"/>
                <w:lang w:val="en-US" w:eastAsia="zh-CN" w:bidi="ar"/>
              </w:rPr>
            </w:pPr>
            <w:r>
              <w:rPr>
                <w:rFonts w:hint="eastAsia" w:ascii="华文楷体" w:hAnsi="华文楷体" w:eastAsia="华文楷体" w:cs="华文楷体"/>
                <w:color w:val="auto"/>
                <w:spacing w:val="40"/>
                <w:kern w:val="0"/>
                <w:sz w:val="28"/>
                <w:szCs w:val="28"/>
                <w:shd w:val="clear" w:fill="D6A841"/>
                <w:lang w:val="en-US" w:eastAsia="zh-CN" w:bidi="ar"/>
              </w:rPr>
              <w:t>模块八  资本市场与上市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71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新型金融业务模式的发展历程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多层次金融体系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变革下的金融架构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z w:val="21"/>
                <w:szCs w:val="21"/>
                <w:vertAlign w:val="baseline"/>
                <w:lang w:val="en-US" w:eastAsia="zh-CN"/>
              </w:rPr>
            </w:pPr>
            <w:r>
              <w:rPr>
                <w:rFonts w:hint="eastAsia" w:ascii="华文楷体" w:hAnsi="华文楷体" w:eastAsia="华文楷体" w:cs="华文楷体"/>
                <w:color w:val="000000"/>
                <w:spacing w:val="11"/>
                <w:sz w:val="21"/>
                <w:szCs w:val="21"/>
                <w:shd w:val="clear" w:fill="FFFFFF"/>
              </w:rPr>
              <w:t>数字货币的影响与变革</w:t>
            </w:r>
          </w:p>
        </w:tc>
        <w:tc>
          <w:tcPr>
            <w:tcW w:w="477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资本市场概论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股票与上市交易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上市辅导与操作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z w:val="21"/>
                <w:szCs w:val="21"/>
                <w:vertAlign w:val="baseline"/>
                <w:lang w:val="en-US" w:eastAsia="zh-CN"/>
              </w:rPr>
            </w:pPr>
            <w:r>
              <w:rPr>
                <w:rFonts w:hint="eastAsia" w:ascii="华文楷体" w:hAnsi="华文楷体" w:eastAsia="华文楷体" w:cs="华文楷体"/>
                <w:color w:val="000000"/>
                <w:spacing w:val="11"/>
                <w:sz w:val="21"/>
                <w:szCs w:val="21"/>
                <w:shd w:val="clear" w:fill="FFFFFF"/>
              </w:rPr>
              <w:t>中外资本市场差异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4710" w:type="dxa"/>
          </w:tcPr>
          <w:p>
            <w:pPr>
              <w:numPr>
                <w:ilvl w:val="0"/>
                <w:numId w:val="0"/>
              </w:numPr>
              <w:jc w:val="both"/>
              <w:rPr>
                <w:rFonts w:hint="eastAsia" w:ascii="华文楷体" w:hAnsi="华文楷体" w:eastAsia="华文楷体" w:cs="华文楷体"/>
                <w:color w:val="auto"/>
                <w:spacing w:val="40"/>
                <w:kern w:val="0"/>
                <w:sz w:val="28"/>
                <w:szCs w:val="28"/>
                <w:shd w:val="clear" w:fill="D6A841"/>
                <w:lang w:val="en-US" w:eastAsia="zh-CN" w:bidi="ar"/>
              </w:rPr>
            </w:pPr>
            <w:r>
              <w:rPr>
                <w:rFonts w:hint="eastAsia" w:ascii="华文楷体" w:hAnsi="华文楷体" w:eastAsia="华文楷体" w:cs="华文楷体"/>
                <w:color w:val="auto"/>
                <w:spacing w:val="40"/>
                <w:kern w:val="0"/>
                <w:sz w:val="28"/>
                <w:szCs w:val="28"/>
                <w:shd w:val="clear" w:fill="D6A841"/>
                <w:lang w:val="en-US" w:eastAsia="zh-CN" w:bidi="ar"/>
              </w:rPr>
              <w:t>模块九 金融风险管理与商法</w:t>
            </w:r>
          </w:p>
        </w:tc>
        <w:tc>
          <w:tcPr>
            <w:tcW w:w="4770" w:type="dxa"/>
          </w:tcPr>
          <w:p>
            <w:pPr>
              <w:numPr>
                <w:ilvl w:val="0"/>
                <w:numId w:val="0"/>
              </w:numPr>
              <w:jc w:val="both"/>
              <w:rPr>
                <w:rFonts w:hint="eastAsia" w:ascii="华文楷体" w:hAnsi="华文楷体" w:eastAsia="华文楷体" w:cs="华文楷体"/>
                <w:color w:val="auto"/>
                <w:spacing w:val="40"/>
                <w:kern w:val="0"/>
                <w:sz w:val="28"/>
                <w:szCs w:val="28"/>
                <w:shd w:val="clear" w:fill="D6A841"/>
                <w:lang w:val="en-US" w:eastAsia="zh-CN" w:bidi="ar"/>
              </w:rPr>
            </w:pPr>
            <w:r>
              <w:rPr>
                <w:rFonts w:hint="eastAsia" w:ascii="华文楷体" w:hAnsi="华文楷体" w:eastAsia="华文楷体" w:cs="华文楷体"/>
                <w:color w:val="auto"/>
                <w:spacing w:val="40"/>
                <w:kern w:val="0"/>
                <w:sz w:val="28"/>
                <w:szCs w:val="28"/>
                <w:shd w:val="clear" w:fill="D6A841"/>
                <w:lang w:val="en-US" w:eastAsia="zh-CN" w:bidi="ar"/>
              </w:rPr>
              <w:t xml:space="preserve">模块十 投资心理学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71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金融风险的种类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金融风险的产生与效应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color w:val="000000"/>
                <w:spacing w:val="11"/>
                <w:sz w:val="21"/>
                <w:szCs w:val="21"/>
                <w:shd w:val="clear" w:fill="FFFFFF"/>
              </w:rPr>
            </w:pPr>
            <w:r>
              <w:rPr>
                <w:rFonts w:hint="eastAsia" w:ascii="华文楷体" w:hAnsi="华文楷体" w:eastAsia="华文楷体" w:cs="华文楷体"/>
                <w:color w:val="000000"/>
                <w:spacing w:val="11"/>
                <w:sz w:val="21"/>
                <w:szCs w:val="21"/>
                <w:shd w:val="clear" w:fill="FFFFFF"/>
              </w:rPr>
              <w:t>金融风险管理概述及价值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z w:val="21"/>
                <w:szCs w:val="21"/>
                <w:vertAlign w:val="baseline"/>
                <w:lang w:val="en-US" w:eastAsia="zh-CN"/>
              </w:rPr>
            </w:pPr>
            <w:r>
              <w:rPr>
                <w:rStyle w:val="6"/>
                <w:rFonts w:hint="eastAsia" w:ascii="华文楷体" w:hAnsi="华文楷体" w:eastAsia="华文楷体" w:cs="华文楷体"/>
                <w:color w:val="000000"/>
                <w:spacing w:val="11"/>
                <w:sz w:val="21"/>
                <w:szCs w:val="21"/>
                <w:shd w:val="clear" w:fill="FFFFFF"/>
              </w:rPr>
              <w:t> </w:t>
            </w:r>
          </w:p>
        </w:tc>
        <w:tc>
          <w:tcPr>
            <w:tcW w:w="477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Style w:val="6"/>
                <w:rFonts w:hint="eastAsia" w:ascii="华文楷体" w:hAnsi="华文楷体" w:eastAsia="华文楷体" w:cs="华文楷体"/>
                <w:color w:val="000000"/>
                <w:spacing w:val="11"/>
                <w:sz w:val="21"/>
                <w:szCs w:val="21"/>
                <w:shd w:val="clear" w:fill="FFFFFF"/>
              </w:rPr>
              <w:t> </w:t>
            </w:r>
            <w:r>
              <w:rPr>
                <w:rFonts w:hint="eastAsia" w:ascii="华文楷体" w:hAnsi="华文楷体" w:eastAsia="华文楷体" w:cs="华文楷体"/>
                <w:color w:val="000000"/>
                <w:spacing w:val="11"/>
                <w:sz w:val="21"/>
                <w:szCs w:val="21"/>
                <w:shd w:val="clear" w:fill="FFFFFF"/>
              </w:rPr>
              <w:t>投资者非理性心理分析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color w:val="000000"/>
                <w:spacing w:val="11"/>
                <w:sz w:val="21"/>
                <w:szCs w:val="21"/>
                <w:shd w:val="clear" w:fill="FFFFFF"/>
              </w:rPr>
            </w:pPr>
            <w:r>
              <w:rPr>
                <w:rFonts w:hint="eastAsia" w:ascii="华文楷体" w:hAnsi="华文楷体" w:eastAsia="华文楷体" w:cs="华文楷体"/>
                <w:color w:val="000000"/>
                <w:spacing w:val="11"/>
                <w:sz w:val="21"/>
                <w:szCs w:val="21"/>
                <w:shd w:val="clear" w:fill="FFFFFF"/>
              </w:rPr>
              <w:t>行为金融学与传统金融理论的区别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z w:val="21"/>
                <w:szCs w:val="21"/>
                <w:vertAlign w:val="baseline"/>
                <w:lang w:val="en-US" w:eastAsia="zh-CN"/>
              </w:rPr>
            </w:pPr>
            <w:r>
              <w:rPr>
                <w:rFonts w:hint="eastAsia" w:ascii="华文楷体" w:hAnsi="华文楷体" w:eastAsia="华文楷体" w:cs="华文楷体"/>
                <w:color w:val="000000"/>
                <w:spacing w:val="11"/>
                <w:sz w:val="21"/>
                <w:szCs w:val="21"/>
                <w:shd w:val="clear" w:fill="FFFFFF"/>
              </w:rPr>
              <w:t>行为金融学的主要理论模型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4710" w:type="dxa"/>
          </w:tcPr>
          <w:p>
            <w:pPr>
              <w:numPr>
                <w:ilvl w:val="0"/>
                <w:numId w:val="0"/>
              </w:numPr>
              <w:jc w:val="both"/>
              <w:rPr>
                <w:rFonts w:hint="eastAsia" w:ascii="华文楷体" w:hAnsi="华文楷体" w:eastAsia="华文楷体" w:cs="华文楷体"/>
                <w:color w:val="auto"/>
                <w:spacing w:val="40"/>
                <w:kern w:val="0"/>
                <w:sz w:val="28"/>
                <w:szCs w:val="28"/>
                <w:shd w:val="clear" w:fill="D6A841"/>
                <w:lang w:val="en-US" w:eastAsia="zh-CN" w:bidi="ar"/>
              </w:rPr>
            </w:pPr>
            <w:r>
              <w:rPr>
                <w:rFonts w:hint="eastAsia" w:ascii="华文楷体" w:hAnsi="华文楷体" w:eastAsia="华文楷体" w:cs="华文楷体"/>
                <w:color w:val="auto"/>
                <w:spacing w:val="40"/>
                <w:kern w:val="0"/>
                <w:sz w:val="28"/>
                <w:szCs w:val="28"/>
                <w:shd w:val="clear" w:fill="D6A841"/>
                <w:lang w:val="en-US" w:eastAsia="zh-CN" w:bidi="ar"/>
              </w:rPr>
              <w:t xml:space="preserve">模块十一 索罗斯投资哲学 </w:t>
            </w:r>
          </w:p>
        </w:tc>
        <w:tc>
          <w:tcPr>
            <w:tcW w:w="4770" w:type="dxa"/>
          </w:tcPr>
          <w:p>
            <w:pPr>
              <w:numPr>
                <w:ilvl w:val="0"/>
                <w:numId w:val="0"/>
              </w:numPr>
              <w:jc w:val="both"/>
              <w:rPr>
                <w:rFonts w:hint="eastAsia" w:ascii="华文楷体" w:hAnsi="华文楷体" w:eastAsia="华文楷体" w:cs="华文楷体"/>
                <w:color w:val="auto"/>
                <w:spacing w:val="40"/>
                <w:kern w:val="0"/>
                <w:sz w:val="28"/>
                <w:szCs w:val="28"/>
                <w:shd w:val="clear" w:fill="D6A841"/>
                <w:lang w:val="en-US" w:eastAsia="zh-CN" w:bidi="ar"/>
              </w:rPr>
            </w:pPr>
            <w:r>
              <w:rPr>
                <w:rFonts w:hint="eastAsia" w:ascii="华文楷体" w:hAnsi="华文楷体" w:eastAsia="华文楷体" w:cs="华文楷体"/>
                <w:color w:val="auto"/>
                <w:spacing w:val="40"/>
                <w:kern w:val="0"/>
                <w:sz w:val="28"/>
                <w:szCs w:val="28"/>
                <w:shd w:val="clear" w:fill="D6A841"/>
                <w:lang w:val="en-US" w:eastAsia="zh-CN" w:bidi="ar"/>
              </w:rPr>
              <w:t xml:space="preserve">模块十二  金融衍生品分析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71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准确把握宏观经济走势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市场波动中实现自保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z w:val="21"/>
                <w:szCs w:val="21"/>
                <w:vertAlign w:val="baseline"/>
                <w:lang w:val="en-US" w:eastAsia="zh-CN"/>
              </w:rPr>
            </w:pPr>
            <w:r>
              <w:rPr>
                <w:rFonts w:hint="eastAsia" w:ascii="华文楷体" w:hAnsi="华文楷体" w:eastAsia="华文楷体" w:cs="华文楷体"/>
                <w:color w:val="000000"/>
                <w:spacing w:val="11"/>
                <w:sz w:val="21"/>
                <w:szCs w:val="21"/>
                <w:shd w:val="clear" w:fill="FFFFFF"/>
              </w:rPr>
              <w:t>索罗斯“三不”投资原则</w:t>
            </w:r>
          </w:p>
        </w:tc>
        <w:tc>
          <w:tcPr>
            <w:tcW w:w="4770" w:type="dxa"/>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金融衍生品概论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国际金融衍生品市场的发展现状及其影响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rFonts w:hint="eastAsia" w:ascii="华文楷体" w:hAnsi="华文楷体" w:eastAsia="华文楷体" w:cs="华文楷体"/>
                <w:spacing w:val="11"/>
                <w:sz w:val="21"/>
                <w:szCs w:val="21"/>
              </w:rPr>
            </w:pPr>
            <w:r>
              <w:rPr>
                <w:rFonts w:hint="eastAsia" w:ascii="华文楷体" w:hAnsi="华文楷体" w:eastAsia="华文楷体" w:cs="华文楷体"/>
                <w:color w:val="000000"/>
                <w:spacing w:val="11"/>
                <w:sz w:val="21"/>
                <w:szCs w:val="21"/>
                <w:shd w:val="clear" w:fill="FFFFFF"/>
              </w:rPr>
              <w:t>投资配置策略</w:t>
            </w:r>
          </w:p>
          <w:p>
            <w:pPr>
              <w:tabs>
                <w:tab w:val="left" w:pos="834"/>
              </w:tabs>
              <w:bidi w:val="0"/>
              <w:jc w:val="left"/>
              <w:rPr>
                <w:rFonts w:hint="eastAsia" w:ascii="华文楷体" w:hAnsi="华文楷体" w:eastAsia="华文楷体" w:cs="华文楷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480" w:type="dxa"/>
            <w:gridSpan w:val="2"/>
          </w:tcPr>
          <w:p>
            <w:pPr>
              <w:numPr>
                <w:ilvl w:val="0"/>
                <w:numId w:val="0"/>
              </w:numPr>
              <w:jc w:val="center"/>
              <w:rPr>
                <w:rFonts w:hint="eastAsia" w:ascii="华文楷体" w:hAnsi="华文楷体" w:eastAsia="华文楷体" w:cs="华文楷体"/>
                <w:sz w:val="30"/>
                <w:szCs w:val="30"/>
                <w:vertAlign w:val="baseline"/>
                <w:lang w:val="en-US" w:eastAsia="zh-CN"/>
              </w:rPr>
            </w:pPr>
            <w:r>
              <w:rPr>
                <w:rFonts w:hint="eastAsia" w:ascii="华文楷体" w:hAnsi="华文楷体" w:eastAsia="华文楷体" w:cs="华文楷体"/>
                <w:b/>
                <w:bCs/>
                <w:sz w:val="30"/>
                <w:szCs w:val="30"/>
                <w:vertAlign w:val="baseline"/>
                <w:lang w:val="en-US" w:eastAsia="zh-CN"/>
              </w:rPr>
              <w:t>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4710" w:type="dxa"/>
          </w:tcPr>
          <w:p>
            <w:pPr>
              <w:numPr>
                <w:ilvl w:val="0"/>
                <w:numId w:val="0"/>
              </w:numPr>
              <w:jc w:val="cente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color w:val="FFFFFF"/>
                <w:spacing w:val="40"/>
                <w:sz w:val="24"/>
                <w:szCs w:val="24"/>
                <w:shd w:val="clear" w:fill="D6A841"/>
              </w:rPr>
              <w:t>从企业家到企业投资家战略</w:t>
            </w:r>
          </w:p>
        </w:tc>
        <w:tc>
          <w:tcPr>
            <w:tcW w:w="4770" w:type="dxa"/>
          </w:tcPr>
          <w:p>
            <w:pPr>
              <w:numPr>
                <w:ilvl w:val="0"/>
                <w:numId w:val="0"/>
              </w:numPr>
              <w:jc w:val="cente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color w:val="FFFFFF"/>
                <w:spacing w:val="40"/>
                <w:sz w:val="24"/>
                <w:szCs w:val="24"/>
                <w:shd w:val="clear" w:fill="D6A841"/>
              </w:rPr>
              <w:t>国学智慧与企业管理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710" w:type="dxa"/>
          </w:tcPr>
          <w:p>
            <w:pPr>
              <w:numPr>
                <w:ilvl w:val="0"/>
                <w:numId w:val="0"/>
              </w:numPr>
              <w:jc w:val="cente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color w:val="FFFFFF"/>
                <w:spacing w:val="40"/>
                <w:sz w:val="24"/>
                <w:szCs w:val="24"/>
                <w:shd w:val="clear" w:fill="D6A841"/>
              </w:rPr>
              <w:t>领导力建设</w:t>
            </w:r>
          </w:p>
        </w:tc>
        <w:tc>
          <w:tcPr>
            <w:tcW w:w="4770" w:type="dxa"/>
          </w:tcPr>
          <w:p>
            <w:pPr>
              <w:numPr>
                <w:ilvl w:val="0"/>
                <w:numId w:val="0"/>
              </w:numPr>
              <w:jc w:val="cente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color w:val="FFFFFF"/>
                <w:spacing w:val="40"/>
                <w:sz w:val="24"/>
                <w:szCs w:val="24"/>
                <w:shd w:val="clear" w:fill="D6A841"/>
              </w:rPr>
              <w:t>国内外投资案例解读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4710" w:type="dxa"/>
          </w:tcPr>
          <w:p>
            <w:pPr>
              <w:numPr>
                <w:ilvl w:val="0"/>
                <w:numId w:val="0"/>
              </w:numPr>
              <w:jc w:val="cente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color w:val="FFFFFF"/>
                <w:spacing w:val="11"/>
                <w:sz w:val="24"/>
                <w:szCs w:val="24"/>
                <w:shd w:val="clear" w:fill="D6A841"/>
              </w:rPr>
              <w:t>多层次资本市场体系与科创板</w:t>
            </w:r>
          </w:p>
        </w:tc>
        <w:tc>
          <w:tcPr>
            <w:tcW w:w="4770" w:type="dxa"/>
          </w:tcPr>
          <w:p>
            <w:pPr>
              <w:numPr>
                <w:ilvl w:val="0"/>
                <w:numId w:val="0"/>
              </w:numPr>
              <w:jc w:val="cente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color w:val="FFFFFF"/>
                <w:spacing w:val="11"/>
                <w:sz w:val="24"/>
                <w:szCs w:val="24"/>
                <w:shd w:val="clear" w:fill="D6A841"/>
              </w:rPr>
              <w:t>商务路演观摩与实战</w:t>
            </w:r>
          </w:p>
        </w:tc>
      </w:tr>
    </w:tbl>
    <w:p>
      <w:pPr>
        <w:numPr>
          <w:ilvl w:val="0"/>
          <w:numId w:val="0"/>
        </w:numPr>
        <w:jc w:val="both"/>
        <w:rPr>
          <w:rFonts w:hint="eastAsia" w:ascii="华文楷体" w:hAnsi="华文楷体" w:eastAsia="华文楷体" w:cs="华文楷体"/>
          <w:b/>
          <w:bCs/>
          <w:sz w:val="30"/>
          <w:szCs w:val="30"/>
          <w:lang w:val="en-US" w:eastAsia="zh-CN"/>
        </w:rPr>
      </w:pPr>
      <w:r>
        <w:rPr>
          <w:rFonts w:hint="eastAsia" w:ascii="华文楷体" w:hAnsi="华文楷体" w:eastAsia="华文楷体" w:cs="华文楷体"/>
          <w:b/>
          <w:bCs/>
          <w:sz w:val="30"/>
          <w:szCs w:val="30"/>
          <w:lang w:val="en-US" w:eastAsia="zh-CN"/>
        </w:rPr>
        <w:t>【授课老师】</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0" w:firstLineChars="200"/>
        <w:jc w:val="both"/>
        <w:textAlignment w:val="auto"/>
        <w:rPr>
          <w:rFonts w:hint="eastAsia" w:ascii="华文楷体" w:hAnsi="华文楷体" w:eastAsia="华文楷体" w:cs="华文楷体"/>
          <w:sz w:val="24"/>
          <w:szCs w:val="24"/>
          <w:lang w:val="en-US" w:eastAsia="zh-CN"/>
        </w:rPr>
      </w:pPr>
      <w:r>
        <w:rPr>
          <w:rFonts w:hint="eastAsia" w:ascii="华文楷体" w:hAnsi="华文楷体" w:eastAsia="华文楷体" w:cs="华文楷体"/>
          <w:b/>
          <w:bCs/>
          <w:sz w:val="24"/>
          <w:szCs w:val="24"/>
          <w:lang w:val="en-US" w:eastAsia="zh-CN"/>
        </w:rPr>
        <w:t>何茂春</w:t>
      </w:r>
      <w:r>
        <w:rPr>
          <w:rFonts w:hint="eastAsia" w:ascii="华文楷体" w:hAnsi="华文楷体" w:eastAsia="华文楷体" w:cs="华文楷体"/>
          <w:sz w:val="24"/>
          <w:szCs w:val="24"/>
          <w:lang w:val="en-US" w:eastAsia="zh-CN"/>
        </w:rPr>
        <w:t>：清华大学经济外交中心主任、博导，BOSS商学院首席专家。</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0" w:firstLineChars="200"/>
        <w:jc w:val="both"/>
        <w:textAlignment w:val="auto"/>
        <w:rPr>
          <w:rFonts w:hint="eastAsia" w:ascii="华文楷体" w:hAnsi="华文楷体" w:eastAsia="华文楷体" w:cs="华文楷体"/>
          <w:sz w:val="24"/>
          <w:szCs w:val="24"/>
          <w:lang w:val="en-US" w:eastAsia="zh-CN"/>
        </w:rPr>
      </w:pPr>
      <w:r>
        <w:rPr>
          <w:rFonts w:hint="eastAsia" w:ascii="华文楷体" w:hAnsi="华文楷体" w:eastAsia="华文楷体" w:cs="华文楷体"/>
          <w:b/>
          <w:bCs/>
          <w:sz w:val="24"/>
          <w:szCs w:val="24"/>
          <w:lang w:val="en-US" w:eastAsia="zh-CN"/>
        </w:rPr>
        <w:t>刘胜军</w:t>
      </w:r>
      <w:r>
        <w:rPr>
          <w:rFonts w:hint="eastAsia" w:ascii="华文楷体" w:hAnsi="华文楷体" w:eastAsia="华文楷体" w:cs="华文楷体"/>
          <w:sz w:val="24"/>
          <w:szCs w:val="24"/>
          <w:lang w:val="en-US" w:eastAsia="zh-CN"/>
        </w:rPr>
        <w:t>：国家金融改革研究院院长、总理座谈会专家、陆家嘴论坛创始人之一。</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0" w:firstLineChars="200"/>
        <w:jc w:val="both"/>
        <w:textAlignment w:val="auto"/>
        <w:rPr>
          <w:rFonts w:hint="eastAsia" w:ascii="华文楷体" w:hAnsi="华文楷体" w:eastAsia="华文楷体" w:cs="华文楷体"/>
          <w:sz w:val="24"/>
          <w:szCs w:val="24"/>
          <w:lang w:val="en-US" w:eastAsia="zh-CN"/>
        </w:rPr>
      </w:pPr>
      <w:r>
        <w:rPr>
          <w:rFonts w:hint="eastAsia" w:ascii="华文楷体" w:hAnsi="华文楷体" w:eastAsia="华文楷体" w:cs="华文楷体"/>
          <w:b/>
          <w:bCs/>
          <w:sz w:val="24"/>
          <w:szCs w:val="24"/>
          <w:lang w:val="en-US" w:eastAsia="zh-CN"/>
        </w:rPr>
        <w:t>张云峰</w:t>
      </w:r>
      <w:r>
        <w:rPr>
          <w:rFonts w:hint="eastAsia" w:ascii="华文楷体" w:hAnsi="华文楷体" w:eastAsia="华文楷体" w:cs="华文楷体"/>
          <w:sz w:val="24"/>
          <w:szCs w:val="24"/>
          <w:lang w:val="en-US" w:eastAsia="zh-CN"/>
        </w:rPr>
        <w:t>：上海股权托管中心党委书记、总经理。</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0" w:firstLineChars="200"/>
        <w:jc w:val="both"/>
        <w:textAlignment w:val="auto"/>
        <w:rPr>
          <w:rFonts w:hint="eastAsia" w:ascii="华文楷体" w:hAnsi="华文楷体" w:eastAsia="华文楷体" w:cs="华文楷体"/>
          <w:sz w:val="24"/>
          <w:szCs w:val="24"/>
          <w:lang w:val="en-US" w:eastAsia="zh-CN"/>
        </w:rPr>
      </w:pPr>
      <w:r>
        <w:rPr>
          <w:rFonts w:hint="eastAsia" w:ascii="华文楷体" w:hAnsi="华文楷体" w:eastAsia="华文楷体" w:cs="华文楷体"/>
          <w:b/>
          <w:bCs/>
          <w:sz w:val="24"/>
          <w:szCs w:val="24"/>
          <w:lang w:val="en-US" w:eastAsia="zh-CN"/>
        </w:rPr>
        <w:t>陆满平</w:t>
      </w:r>
      <w:r>
        <w:rPr>
          <w:rFonts w:hint="eastAsia" w:ascii="华文楷体" w:hAnsi="华文楷体" w:eastAsia="华文楷体" w:cs="华文楷体"/>
          <w:sz w:val="24"/>
          <w:szCs w:val="24"/>
          <w:lang w:val="en-US" w:eastAsia="zh-CN"/>
        </w:rPr>
        <w:t>：平安证券投资银行总部执行总经理。</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0" w:firstLineChars="200"/>
        <w:jc w:val="both"/>
        <w:textAlignment w:val="auto"/>
        <w:rPr>
          <w:rFonts w:hint="eastAsia" w:ascii="华文楷体" w:hAnsi="华文楷体" w:eastAsia="华文楷体" w:cs="华文楷体"/>
          <w:sz w:val="24"/>
          <w:szCs w:val="24"/>
          <w:lang w:val="en-US" w:eastAsia="zh-CN"/>
        </w:rPr>
      </w:pPr>
      <w:r>
        <w:rPr>
          <w:rFonts w:hint="eastAsia" w:ascii="华文楷体" w:hAnsi="华文楷体" w:eastAsia="华文楷体" w:cs="华文楷体"/>
          <w:b/>
          <w:bCs/>
          <w:sz w:val="24"/>
          <w:szCs w:val="24"/>
          <w:lang w:val="en-US" w:eastAsia="zh-CN"/>
        </w:rPr>
        <w:t>朱少平</w:t>
      </w:r>
      <w:r>
        <w:rPr>
          <w:rFonts w:hint="eastAsia" w:ascii="华文楷体" w:hAnsi="华文楷体" w:eastAsia="华文楷体" w:cs="华文楷体"/>
          <w:sz w:val="24"/>
          <w:szCs w:val="24"/>
          <w:lang w:val="en-US" w:eastAsia="zh-CN"/>
        </w:rPr>
        <w:t>：全国人大财经委法案室主任、北京大学财税法研究中心教授、中国政法大学破产法研究中心研究员。</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0" w:firstLineChars="200"/>
        <w:jc w:val="both"/>
        <w:textAlignment w:val="auto"/>
        <w:rPr>
          <w:rFonts w:hint="eastAsia" w:ascii="华文楷体" w:hAnsi="华文楷体" w:eastAsia="华文楷体" w:cs="华文楷体"/>
          <w:sz w:val="24"/>
          <w:szCs w:val="24"/>
          <w:lang w:val="en-US" w:eastAsia="zh-CN"/>
        </w:rPr>
      </w:pPr>
      <w:r>
        <w:rPr>
          <w:rFonts w:hint="eastAsia" w:ascii="华文楷体" w:hAnsi="华文楷体" w:eastAsia="华文楷体" w:cs="华文楷体"/>
          <w:b/>
          <w:bCs/>
          <w:sz w:val="24"/>
          <w:szCs w:val="24"/>
          <w:lang w:val="en-US" w:eastAsia="zh-CN"/>
        </w:rPr>
        <w:t>庞红</w:t>
      </w:r>
      <w:r>
        <w:rPr>
          <w:rFonts w:hint="eastAsia" w:ascii="华文楷体" w:hAnsi="华文楷体" w:eastAsia="华文楷体" w:cs="华文楷体"/>
          <w:sz w:val="24"/>
          <w:szCs w:val="24"/>
          <w:lang w:val="en-US" w:eastAsia="zh-CN"/>
        </w:rPr>
        <w:t>：全国人大财经委法案室主任、北京大学财税法研究中心教授、中国政法大学破产法研究中心研究员。</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0" w:firstLineChars="200"/>
        <w:jc w:val="both"/>
        <w:textAlignment w:val="auto"/>
        <w:rPr>
          <w:rFonts w:hint="eastAsia" w:ascii="华文楷体" w:hAnsi="华文楷体" w:eastAsia="华文楷体" w:cs="华文楷体"/>
          <w:sz w:val="24"/>
          <w:szCs w:val="24"/>
          <w:lang w:val="en-US" w:eastAsia="zh-CN"/>
        </w:rPr>
      </w:pPr>
      <w:r>
        <w:rPr>
          <w:rFonts w:hint="eastAsia" w:ascii="华文楷体" w:hAnsi="华文楷体" w:eastAsia="华文楷体" w:cs="华文楷体"/>
          <w:b/>
          <w:bCs/>
          <w:sz w:val="24"/>
          <w:szCs w:val="24"/>
          <w:lang w:val="en-US" w:eastAsia="zh-CN"/>
        </w:rPr>
        <w:t>刘子军</w:t>
      </w:r>
      <w:r>
        <w:rPr>
          <w:rFonts w:hint="eastAsia" w:ascii="华文楷体" w:hAnsi="华文楷体" w:eastAsia="华文楷体" w:cs="华文楷体"/>
          <w:sz w:val="24"/>
          <w:szCs w:val="24"/>
          <w:lang w:val="en-US" w:eastAsia="zh-CN"/>
        </w:rPr>
        <w:t>：一带一路国际合作发展（深圳）研究院特约研究员、深圳市国防教育促进会副会长、国防教育授课专家。</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0" w:firstLineChars="200"/>
        <w:jc w:val="both"/>
        <w:textAlignment w:val="auto"/>
        <w:rPr>
          <w:rFonts w:hint="eastAsia" w:ascii="华文楷体" w:hAnsi="华文楷体" w:eastAsia="华文楷体" w:cs="华文楷体"/>
          <w:sz w:val="24"/>
          <w:szCs w:val="24"/>
          <w:lang w:val="en-US" w:eastAsia="zh-CN"/>
        </w:rPr>
      </w:pPr>
      <w:r>
        <w:rPr>
          <w:rFonts w:hint="eastAsia" w:ascii="华文楷体" w:hAnsi="华文楷体" w:eastAsia="华文楷体" w:cs="华文楷体"/>
          <w:b/>
          <w:bCs/>
          <w:sz w:val="24"/>
          <w:szCs w:val="24"/>
          <w:lang w:val="en-US" w:eastAsia="zh-CN"/>
        </w:rPr>
        <w:t>刘东</w:t>
      </w:r>
      <w:r>
        <w:rPr>
          <w:rFonts w:hint="eastAsia" w:ascii="华文楷体" w:hAnsi="华文楷体" w:eastAsia="华文楷体" w:cs="华文楷体"/>
          <w:sz w:val="24"/>
          <w:szCs w:val="24"/>
          <w:lang w:val="en-US" w:eastAsia="zh-CN"/>
        </w:rPr>
        <w:t>：一带一路国际合作发展（深圳）研究院特约研究员、深圳市国防教育促进会副会长、国防教育授课专家。</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0" w:firstLineChars="200"/>
        <w:jc w:val="both"/>
        <w:textAlignment w:val="auto"/>
        <w:rPr>
          <w:rFonts w:hint="eastAsia" w:ascii="华文楷体" w:hAnsi="华文楷体" w:eastAsia="华文楷体" w:cs="华文楷体"/>
          <w:sz w:val="24"/>
          <w:szCs w:val="24"/>
          <w:lang w:val="en-US" w:eastAsia="zh-CN"/>
        </w:rPr>
      </w:pPr>
      <w:r>
        <w:rPr>
          <w:rFonts w:hint="eastAsia" w:ascii="华文楷体" w:hAnsi="华文楷体" w:eastAsia="华文楷体" w:cs="华文楷体"/>
          <w:b/>
          <w:bCs/>
          <w:sz w:val="24"/>
          <w:szCs w:val="24"/>
          <w:lang w:val="en-US" w:eastAsia="zh-CN"/>
        </w:rPr>
        <w:t>房西苑</w:t>
      </w:r>
      <w:r>
        <w:rPr>
          <w:rFonts w:hint="eastAsia" w:ascii="华文楷体" w:hAnsi="华文楷体" w:eastAsia="华文楷体" w:cs="华文楷体"/>
          <w:sz w:val="24"/>
          <w:szCs w:val="24"/>
          <w:lang w:val="en-US" w:eastAsia="zh-CN"/>
        </w:rPr>
        <w:t>：著名国际投资融资顾问,曾任美国CAPITALHOUSE投资集团驻中国首席代表,曾服务于高盛投资银行、第一波士顿投资银行。</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0" w:firstLineChars="200"/>
        <w:jc w:val="both"/>
        <w:textAlignment w:val="auto"/>
        <w:rPr>
          <w:rFonts w:hint="eastAsia" w:ascii="华文楷体" w:hAnsi="华文楷体" w:eastAsia="华文楷体" w:cs="华文楷体"/>
          <w:sz w:val="24"/>
          <w:szCs w:val="24"/>
          <w:lang w:val="en-US" w:eastAsia="zh-CN"/>
        </w:rPr>
      </w:pPr>
      <w:r>
        <w:rPr>
          <w:rFonts w:hint="eastAsia" w:ascii="华文楷体" w:hAnsi="华文楷体" w:eastAsia="华文楷体" w:cs="华文楷体"/>
          <w:b/>
          <w:bCs/>
          <w:sz w:val="24"/>
          <w:szCs w:val="24"/>
          <w:lang w:val="en-US" w:eastAsia="zh-CN"/>
        </w:rPr>
        <w:t>王凯立</w:t>
      </w:r>
      <w:r>
        <w:rPr>
          <w:rFonts w:hint="eastAsia" w:ascii="华文楷体" w:hAnsi="华文楷体" w:eastAsia="华文楷体" w:cs="华文楷体"/>
          <w:sz w:val="24"/>
          <w:szCs w:val="24"/>
          <w:lang w:val="en-US" w:eastAsia="zh-CN"/>
        </w:rPr>
        <w:t>：美国犹他州立大学经济学博士台湾经济学会财务委员、多家上市公司独立董监事暨审计委员。</w:t>
      </w:r>
    </w:p>
    <w:p>
      <w:pPr>
        <w:keepNext w:val="0"/>
        <w:keepLines w:val="0"/>
        <w:pageBreakBefore w:val="0"/>
        <w:widowControl w:val="0"/>
        <w:numPr>
          <w:ilvl w:val="0"/>
          <w:numId w:val="0"/>
        </w:numPr>
        <w:kinsoku/>
        <w:wordWrap/>
        <w:overflowPunct/>
        <w:topLinePunct w:val="0"/>
        <w:autoSpaceDE/>
        <w:autoSpaceDN/>
        <w:bidi w:val="0"/>
        <w:adjustRightInd/>
        <w:snapToGrid/>
        <w:ind w:left="-420" w:leftChars="-200" w:right="-630" w:rightChars="-300" w:firstLine="480" w:firstLineChars="200"/>
        <w:jc w:val="both"/>
        <w:textAlignment w:val="auto"/>
        <w:rPr>
          <w:rFonts w:hint="eastAsia" w:ascii="华文楷体" w:hAnsi="华文楷体" w:eastAsia="华文楷体" w:cs="华文楷体"/>
          <w:sz w:val="24"/>
          <w:szCs w:val="24"/>
          <w:lang w:val="en-US" w:eastAsia="zh-CN"/>
        </w:rPr>
      </w:pPr>
      <w:r>
        <w:rPr>
          <w:rFonts w:hint="eastAsia" w:ascii="华文楷体" w:hAnsi="华文楷体" w:eastAsia="华文楷体" w:cs="华文楷体"/>
          <w:b/>
          <w:bCs/>
          <w:sz w:val="24"/>
          <w:szCs w:val="24"/>
          <w:lang w:val="en-US" w:eastAsia="zh-CN"/>
        </w:rPr>
        <w:t>丁志国</w:t>
      </w:r>
      <w:r>
        <w:rPr>
          <w:rFonts w:hint="eastAsia" w:ascii="华文楷体" w:hAnsi="华文楷体" w:eastAsia="华文楷体" w:cs="华文楷体"/>
          <w:sz w:val="24"/>
          <w:szCs w:val="24"/>
          <w:lang w:val="en-US" w:eastAsia="zh-CN"/>
        </w:rPr>
        <w:t>：吉林大学商学院金融学教授,博士生导师长春市证券投资研究会副会长兼秘书长中央电视台经济频道《理财教室》主讲人。</w:t>
      </w:r>
    </w:p>
    <w:p>
      <w:pPr>
        <w:numPr>
          <w:ilvl w:val="0"/>
          <w:numId w:val="0"/>
        </w:numPr>
        <w:jc w:val="both"/>
        <w:rPr>
          <w:rFonts w:hint="eastAsia" w:ascii="华文楷体" w:hAnsi="华文楷体" w:eastAsia="华文楷体" w:cs="华文楷体"/>
          <w:b/>
          <w:bCs/>
          <w:sz w:val="30"/>
          <w:szCs w:val="30"/>
          <w:lang w:val="en-US" w:eastAsia="zh-CN"/>
        </w:rPr>
      </w:pPr>
      <w:r>
        <w:rPr>
          <w:rFonts w:hint="eastAsia" w:ascii="华文楷体" w:hAnsi="华文楷体" w:eastAsia="华文楷体" w:cs="华文楷体"/>
          <w:b/>
          <w:bCs/>
          <w:sz w:val="30"/>
          <w:szCs w:val="30"/>
          <w:lang w:val="en-US" w:eastAsia="zh-CN"/>
        </w:rPr>
        <w:t>【招生对象】</w:t>
      </w:r>
    </w:p>
    <w:p>
      <w:pPr>
        <w:keepNext w:val="0"/>
        <w:keepLines w:val="0"/>
        <w:widowControl/>
        <w:suppressLineNumbers w:val="0"/>
        <w:jc w:val="left"/>
        <w:rPr>
          <w:rFonts w:hint="eastAsia" w:ascii="华文楷体" w:hAnsi="华文楷体" w:eastAsia="华文楷体" w:cs="华文楷体"/>
          <w:sz w:val="24"/>
          <w:szCs w:val="24"/>
        </w:rPr>
      </w:pPr>
      <w:r>
        <w:rPr>
          <w:rFonts w:hint="eastAsia" w:ascii="华文楷体" w:hAnsi="华文楷体" w:eastAsia="华文楷体" w:cs="华文楷体"/>
          <w:spacing w:val="10"/>
          <w:kern w:val="0"/>
          <w:sz w:val="24"/>
          <w:szCs w:val="24"/>
          <w:lang w:val="en-US" w:eastAsia="zh-CN" w:bidi="ar"/>
        </w:rPr>
        <w:t>1、上市公司、拟上市公司、高新科技创新型企业等标杆性企业的董事长、 CEO、总经理或合伙人（30%以上股权并且可以查到）； </w:t>
      </w:r>
      <w:r>
        <w:rPr>
          <w:rFonts w:hint="eastAsia" w:ascii="华文楷体" w:hAnsi="华文楷体" w:eastAsia="华文楷体" w:cs="华文楷体"/>
          <w:kern w:val="0"/>
          <w:sz w:val="24"/>
          <w:szCs w:val="24"/>
          <w:lang w:val="en-US" w:eastAsia="zh-CN" w:bidi="ar"/>
        </w:rPr>
        <w:br w:type="textWrapping"/>
      </w:r>
      <w:r>
        <w:rPr>
          <w:rFonts w:hint="eastAsia" w:ascii="华文楷体" w:hAnsi="华文楷体" w:eastAsia="华文楷体" w:cs="华文楷体"/>
          <w:spacing w:val="10"/>
          <w:kern w:val="0"/>
          <w:sz w:val="24"/>
          <w:szCs w:val="24"/>
          <w:lang w:val="en-US" w:eastAsia="zh-CN" w:bidi="ar"/>
        </w:rPr>
        <w:t>2、政府、事业单位和国企领导，各大高校正副教授，社会知名人士； 3、投融资项目负责人、私募股权投资基金公司的项目负责人、律师事务所及会计师事务所高级管理人员、银行、证券、担保、租赁公司及投资银行的高级管理人员。</w:t>
      </w:r>
    </w:p>
    <w:p>
      <w:pPr>
        <w:numPr>
          <w:ilvl w:val="0"/>
          <w:numId w:val="0"/>
        </w:numPr>
        <w:jc w:val="both"/>
        <w:rPr>
          <w:rFonts w:hint="eastAsia" w:ascii="华文楷体" w:hAnsi="华文楷体" w:eastAsia="华文楷体" w:cs="华文楷体"/>
          <w:b/>
          <w:bCs/>
          <w:sz w:val="30"/>
          <w:szCs w:val="30"/>
          <w:lang w:val="en-US" w:eastAsia="zh-CN"/>
        </w:rPr>
      </w:pPr>
      <w:r>
        <w:rPr>
          <w:rFonts w:hint="eastAsia" w:ascii="华文楷体" w:hAnsi="华文楷体" w:eastAsia="华文楷体" w:cs="华文楷体"/>
          <w:b/>
          <w:bCs/>
          <w:sz w:val="30"/>
          <w:szCs w:val="30"/>
          <w:lang w:val="en-US" w:eastAsia="zh-CN"/>
        </w:rPr>
        <w:t>【入学资料】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rPr>
          <w:rFonts w:hint="eastAsia" w:ascii="华文楷体" w:hAnsi="华文楷体" w:eastAsia="华文楷体" w:cs="华文楷体"/>
          <w:spacing w:val="10"/>
          <w:sz w:val="21"/>
          <w:szCs w:val="21"/>
        </w:rPr>
      </w:pPr>
      <w:r>
        <w:rPr>
          <w:rFonts w:hint="eastAsia" w:ascii="华文楷体" w:hAnsi="华文楷体" w:eastAsia="华文楷体" w:cs="华文楷体"/>
          <w:spacing w:val="10"/>
          <w:sz w:val="21"/>
          <w:szCs w:val="21"/>
        </w:rPr>
        <w:t>1、填写申请表一份；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rPr>
          <w:rFonts w:hint="eastAsia" w:ascii="华文楷体" w:hAnsi="华文楷体" w:eastAsia="华文楷体" w:cs="华文楷体"/>
          <w:spacing w:val="10"/>
          <w:sz w:val="21"/>
          <w:szCs w:val="21"/>
        </w:rPr>
      </w:pPr>
      <w:r>
        <w:rPr>
          <w:rFonts w:hint="eastAsia" w:ascii="华文楷体" w:hAnsi="华文楷体" w:eastAsia="华文楷体" w:cs="华文楷体"/>
          <w:spacing w:val="10"/>
          <w:sz w:val="21"/>
          <w:szCs w:val="21"/>
        </w:rPr>
        <w:t>2、最高学历证书的复印件二份；企业营业执照复印件二份；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ind w:left="0" w:right="0"/>
        <w:rPr>
          <w:rFonts w:hint="eastAsia" w:ascii="华文楷体" w:hAnsi="华文楷体" w:eastAsia="华文楷体" w:cs="华文楷体"/>
          <w:spacing w:val="10"/>
          <w:sz w:val="21"/>
          <w:szCs w:val="21"/>
        </w:rPr>
      </w:pPr>
      <w:r>
        <w:rPr>
          <w:rFonts w:hint="eastAsia" w:ascii="华文楷体" w:hAnsi="华文楷体" w:eastAsia="华文楷体" w:cs="华文楷体"/>
          <w:spacing w:val="10"/>
          <w:sz w:val="21"/>
          <w:szCs w:val="21"/>
        </w:rPr>
        <w:t>3、身份证复印件二份；蓝底免冠近照二寸 2 张。</w:t>
      </w:r>
    </w:p>
    <w:p>
      <w:pPr>
        <w:numPr>
          <w:ilvl w:val="0"/>
          <w:numId w:val="0"/>
        </w:numPr>
        <w:jc w:val="both"/>
        <w:rPr>
          <w:rFonts w:hint="eastAsia" w:ascii="华文楷体" w:hAnsi="华文楷体" w:eastAsia="华文楷体" w:cs="华文楷体"/>
          <w:b/>
          <w:bCs/>
          <w:sz w:val="30"/>
          <w:szCs w:val="30"/>
          <w:lang w:val="en-US" w:eastAsia="zh-CN"/>
        </w:rPr>
      </w:pPr>
      <w:r>
        <w:rPr>
          <w:rFonts w:hint="eastAsia" w:ascii="华文楷体" w:hAnsi="华文楷体" w:eastAsia="华文楷体" w:cs="华文楷体"/>
          <w:b/>
          <w:bCs/>
          <w:sz w:val="30"/>
          <w:szCs w:val="30"/>
          <w:lang w:val="en-US" w:eastAsia="zh-CN"/>
        </w:rPr>
        <w:t>【报名流程】</w:t>
      </w:r>
    </w:p>
    <w:p>
      <w:pPr>
        <w:numPr>
          <w:ilvl w:val="0"/>
          <w:numId w:val="0"/>
        </w:numPr>
        <w:jc w:val="both"/>
        <w:rPr>
          <w:rFonts w:hint="eastAsia" w:ascii="华文楷体" w:hAnsi="华文楷体" w:eastAsia="华文楷体" w:cs="华文楷体"/>
          <w:sz w:val="18"/>
          <w:szCs w:val="18"/>
        </w:rPr>
      </w:pPr>
      <w:r>
        <w:rPr>
          <w:rFonts w:hint="eastAsia" w:ascii="华文楷体" w:hAnsi="华文楷体" w:eastAsia="华文楷体" w:cs="华文楷体"/>
          <w:sz w:val="18"/>
          <w:szCs w:val="18"/>
        </w:rPr>
        <w:drawing>
          <wp:inline distT="0" distB="0" distL="114300" distR="114300">
            <wp:extent cx="4463415" cy="731520"/>
            <wp:effectExtent l="0" t="0" r="1905" b="0"/>
            <wp:docPr id="12"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5" descr="IMG_290"/>
                    <pic:cNvPicPr>
                      <a:picLocks noChangeAspect="1"/>
                    </pic:cNvPicPr>
                  </pic:nvPicPr>
                  <pic:blipFill>
                    <a:blip r:embed="rId4"/>
                    <a:stretch>
                      <a:fillRect/>
                    </a:stretch>
                  </pic:blipFill>
                  <pic:spPr>
                    <a:xfrm>
                      <a:off x="0" y="0"/>
                      <a:ext cx="4463415" cy="731520"/>
                    </a:xfrm>
                    <a:prstGeom prst="rect">
                      <a:avLst/>
                    </a:prstGeom>
                    <a:noFill/>
                    <a:ln w="9525">
                      <a:noFill/>
                    </a:ln>
                  </pic:spPr>
                </pic:pic>
              </a:graphicData>
            </a:graphic>
          </wp:inline>
        </w:drawing>
      </w:r>
    </w:p>
    <w:p>
      <w:pPr>
        <w:numPr>
          <w:ilvl w:val="0"/>
          <w:numId w:val="0"/>
        </w:numPr>
        <w:jc w:val="both"/>
        <w:rPr>
          <w:rFonts w:hint="eastAsia" w:ascii="华文楷体" w:hAnsi="华文楷体" w:eastAsia="华文楷体" w:cs="华文楷体"/>
          <w:sz w:val="30"/>
          <w:szCs w:val="30"/>
          <w:lang w:val="en-US" w:eastAsia="zh-CN"/>
        </w:rPr>
      </w:pPr>
    </w:p>
    <w:p>
      <w:pPr>
        <w:numPr>
          <w:ilvl w:val="0"/>
          <w:numId w:val="0"/>
        </w:numPr>
        <w:jc w:val="both"/>
        <w:rPr>
          <w:rFonts w:hint="eastAsia" w:ascii="华文楷体" w:hAnsi="华文楷体" w:eastAsia="华文楷体" w:cs="华文楷体"/>
          <w:b/>
          <w:bCs/>
          <w:sz w:val="30"/>
          <w:szCs w:val="30"/>
          <w:lang w:val="en-US" w:eastAsia="zh-CN"/>
        </w:rPr>
      </w:pPr>
      <w:r>
        <w:rPr>
          <w:rFonts w:hint="eastAsia" w:ascii="华文楷体" w:hAnsi="华文楷体" w:eastAsia="华文楷体" w:cs="华文楷体"/>
          <w:b/>
          <w:bCs/>
          <w:sz w:val="30"/>
          <w:szCs w:val="30"/>
          <w:lang w:val="en-US" w:eastAsia="zh-CN"/>
        </w:rPr>
        <w:t>【学制学费】</w:t>
      </w:r>
    </w:p>
    <w:p>
      <w:pPr>
        <w:keepNext w:val="0"/>
        <w:keepLines w:val="0"/>
        <w:widowControl/>
        <w:suppressLineNumbers w:val="0"/>
        <w:jc w:val="left"/>
        <w:rPr>
          <w:rFonts w:hint="eastAsia" w:ascii="华文楷体" w:hAnsi="华文楷体" w:eastAsia="华文楷体" w:cs="华文楷体"/>
          <w:color w:val="auto"/>
          <w:spacing w:val="10"/>
          <w:kern w:val="0"/>
          <w:sz w:val="24"/>
          <w:szCs w:val="24"/>
          <w:lang w:val="en-US" w:eastAsia="zh-CN" w:bidi="ar"/>
        </w:rPr>
      </w:pPr>
      <w:r>
        <w:rPr>
          <w:rStyle w:val="6"/>
          <w:rFonts w:hint="eastAsia" w:ascii="华文楷体" w:hAnsi="华文楷体" w:eastAsia="华文楷体" w:cs="华文楷体"/>
          <w:spacing w:val="10"/>
          <w:kern w:val="0"/>
          <w:sz w:val="24"/>
          <w:szCs w:val="24"/>
          <w:lang w:val="en-US" w:eastAsia="zh-CN" w:bidi="ar"/>
        </w:rPr>
        <w:t>学费：36800元/人</w:t>
      </w:r>
      <w:r>
        <w:rPr>
          <w:rFonts w:hint="eastAsia" w:ascii="华文楷体" w:hAnsi="华文楷体" w:eastAsia="华文楷体" w:cs="华文楷体"/>
          <w:spacing w:val="10"/>
          <w:kern w:val="0"/>
          <w:sz w:val="24"/>
          <w:szCs w:val="24"/>
          <w:lang w:val="en-US" w:eastAsia="zh-CN" w:bidi="ar"/>
        </w:rPr>
        <w:t>，课程期间的食宿、游学及班级活动费用自理</w:t>
      </w:r>
      <w:r>
        <w:rPr>
          <w:rFonts w:hint="eastAsia" w:ascii="华文楷体" w:hAnsi="华文楷体" w:eastAsia="华文楷体" w:cs="华文楷体"/>
          <w:kern w:val="0"/>
          <w:sz w:val="24"/>
          <w:szCs w:val="24"/>
          <w:lang w:val="en-US" w:eastAsia="zh-CN" w:bidi="ar"/>
        </w:rPr>
        <w:br w:type="textWrapping"/>
      </w:r>
      <w:r>
        <w:rPr>
          <w:rStyle w:val="6"/>
          <w:rFonts w:hint="eastAsia" w:ascii="华文楷体" w:hAnsi="华文楷体" w:eastAsia="华文楷体" w:cs="华文楷体"/>
          <w:spacing w:val="10"/>
          <w:kern w:val="0"/>
          <w:sz w:val="24"/>
          <w:szCs w:val="24"/>
          <w:lang w:val="en-US" w:eastAsia="zh-CN" w:bidi="ar"/>
        </w:rPr>
        <w:t>学制：</w:t>
      </w:r>
      <w:r>
        <w:rPr>
          <w:rFonts w:hint="eastAsia" w:ascii="华文楷体" w:hAnsi="华文楷体" w:eastAsia="华文楷体" w:cs="华文楷体"/>
          <w:spacing w:val="10"/>
          <w:kern w:val="0"/>
          <w:sz w:val="24"/>
          <w:szCs w:val="24"/>
          <w:lang w:val="en-US" w:eastAsia="zh-CN" w:bidi="ar"/>
        </w:rPr>
        <w:t>1年，分阶段授课。每月上课一次，每次集中授课2天（周末）</w:t>
      </w:r>
      <w:r>
        <w:rPr>
          <w:rFonts w:hint="eastAsia" w:ascii="华文楷体" w:hAnsi="华文楷体" w:eastAsia="华文楷体" w:cs="华文楷体"/>
          <w:color w:val="888888"/>
          <w:spacing w:val="10"/>
          <w:kern w:val="0"/>
          <w:sz w:val="24"/>
          <w:szCs w:val="24"/>
          <w:lang w:val="en-US" w:eastAsia="zh-CN" w:bidi="ar"/>
        </w:rPr>
        <w:t xml:space="preserve"> </w:t>
      </w:r>
    </w:p>
    <w:p>
      <w:pPr>
        <w:numPr>
          <w:ilvl w:val="0"/>
          <w:numId w:val="0"/>
        </w:numPr>
        <w:jc w:val="both"/>
        <w:rPr>
          <w:rFonts w:hint="eastAsia" w:ascii="华文楷体" w:hAnsi="华文楷体" w:eastAsia="华文楷体" w:cs="华文楷体"/>
          <w:sz w:val="30"/>
          <w:szCs w:val="3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09DF2"/>
    <w:multiLevelType w:val="singleLevel"/>
    <w:tmpl w:val="13B09DF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ZTZmN2FhMzczMmQyNTI3NWIyYjRlY2QzOTBmMzgifQ=="/>
  </w:docVars>
  <w:rsids>
    <w:rsidRoot w:val="00000000"/>
    <w:rsid w:val="06FE53F7"/>
    <w:rsid w:val="07911DEB"/>
    <w:rsid w:val="0914537E"/>
    <w:rsid w:val="100773AB"/>
    <w:rsid w:val="14EE2F97"/>
    <w:rsid w:val="156E0392"/>
    <w:rsid w:val="162C08A7"/>
    <w:rsid w:val="16784F58"/>
    <w:rsid w:val="214A6E6B"/>
    <w:rsid w:val="230F0C77"/>
    <w:rsid w:val="23B819CC"/>
    <w:rsid w:val="2B690D08"/>
    <w:rsid w:val="308D102C"/>
    <w:rsid w:val="338C1B5A"/>
    <w:rsid w:val="35496928"/>
    <w:rsid w:val="36A74CCE"/>
    <w:rsid w:val="40102C5D"/>
    <w:rsid w:val="44AB43A8"/>
    <w:rsid w:val="467C4286"/>
    <w:rsid w:val="471F1B68"/>
    <w:rsid w:val="4CA26BF2"/>
    <w:rsid w:val="54DA66BB"/>
    <w:rsid w:val="5C4020FB"/>
    <w:rsid w:val="5C780392"/>
    <w:rsid w:val="60494A2F"/>
    <w:rsid w:val="61FD4E43"/>
    <w:rsid w:val="634B5DC1"/>
    <w:rsid w:val="64252660"/>
    <w:rsid w:val="68ED6FEF"/>
    <w:rsid w:val="6E564584"/>
    <w:rsid w:val="77044AFD"/>
    <w:rsid w:val="7B314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2299</Words>
  <Characters>2343</Characters>
  <Lines>0</Lines>
  <Paragraphs>0</Paragraphs>
  <TotalTime>27</TotalTime>
  <ScaleCrop>false</ScaleCrop>
  <LinksUpToDate>false</LinksUpToDate>
  <CharactersWithSpaces>2392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wjd</dc:creator>
  <cp:lastModifiedBy>冰冰⊙▽⊙＊</cp:lastModifiedBy>
  <dcterms:modified xsi:type="dcterms:W3CDTF">2023-09-22T03:23:23Z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FAA3A0EE5B664E298A80A3DAF51C7448_13</vt:lpwstr>
  </property>
</Properties>
</file>