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7012F" w14:textId="2FFDE72C" w:rsidR="004B2B06" w:rsidRDefault="0017252C" w:rsidP="0017252C">
      <w:pPr>
        <w:pStyle w:val="1"/>
      </w:pPr>
      <w:r>
        <w:t>DAMA</w:t>
      </w:r>
      <w:r>
        <w:rPr>
          <w:rFonts w:hint="eastAsia"/>
        </w:rPr>
        <w:t>数据治理专家</w:t>
      </w:r>
      <w:r>
        <w:t>CDGP</w:t>
      </w:r>
      <w:r>
        <w:rPr>
          <w:rFonts w:hint="eastAsia"/>
        </w:rPr>
        <w:t>培训</w:t>
      </w:r>
    </w:p>
    <w:p w14:paraId="4AD46B45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学习目标：</w:t>
      </w:r>
    </w:p>
    <w:p w14:paraId="52240F3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掌握数据管理专业知识体系，熟练数据管理技能，帮助数据管理从业人士获得企业数字化转型战略下的必备职业能力，深入开展项目实践应用到实际的问题解决，形成企业所需的新数字经济</w:t>
      </w:r>
      <w:proofErr w:type="gramStart"/>
      <w:r>
        <w:rPr>
          <w:rFonts w:hint="eastAsia"/>
          <w:szCs w:val="21"/>
        </w:rPr>
        <w:t>下核心</w:t>
      </w:r>
      <w:proofErr w:type="gramEnd"/>
      <w:r>
        <w:rPr>
          <w:rFonts w:hint="eastAsia"/>
          <w:szCs w:val="21"/>
        </w:rPr>
        <w:t>职业竞争能力。</w:t>
      </w:r>
    </w:p>
    <w:p w14:paraId="4C692A1E" w14:textId="77777777" w:rsidR="0017252C" w:rsidRDefault="0017252C" w:rsidP="0017252C">
      <w:pPr>
        <w:rPr>
          <w:szCs w:val="21"/>
        </w:rPr>
      </w:pPr>
    </w:p>
    <w:p w14:paraId="7981990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课程亮点：</w:t>
      </w:r>
    </w:p>
    <w:p w14:paraId="7BD7F94E" w14:textId="77777777" w:rsidR="0017252C" w:rsidRDefault="0017252C" w:rsidP="0017252C">
      <w:pPr>
        <w:rPr>
          <w:szCs w:val="21"/>
        </w:rPr>
      </w:pPr>
      <w:r>
        <w:rPr>
          <w:rFonts w:hint="eastAsia"/>
          <w:b/>
          <w:szCs w:val="21"/>
        </w:rPr>
        <w:t>师资</w:t>
      </w:r>
      <w:r>
        <w:rPr>
          <w:rFonts w:hint="eastAsia"/>
          <w:szCs w:val="21"/>
        </w:rPr>
        <w:t>：优秀讲师团队，丰富行业经验和企业培训经验</w:t>
      </w:r>
    </w:p>
    <w:p w14:paraId="278410DC" w14:textId="77777777" w:rsidR="0017252C" w:rsidRDefault="0017252C" w:rsidP="0017252C">
      <w:pPr>
        <w:rPr>
          <w:szCs w:val="21"/>
        </w:rPr>
      </w:pPr>
      <w:r>
        <w:rPr>
          <w:rFonts w:hint="eastAsia"/>
          <w:b/>
          <w:szCs w:val="21"/>
        </w:rPr>
        <w:t>特色</w:t>
      </w:r>
      <w:r>
        <w:rPr>
          <w:rFonts w:hint="eastAsia"/>
          <w:szCs w:val="21"/>
        </w:rPr>
        <w:t>：小班培训，精品课程，面授+直播+录播，上课方式多样</w:t>
      </w:r>
    </w:p>
    <w:p w14:paraId="10879494" w14:textId="77777777" w:rsidR="0017252C" w:rsidRDefault="0017252C" w:rsidP="0017252C">
      <w:pPr>
        <w:rPr>
          <w:szCs w:val="21"/>
        </w:rPr>
      </w:pPr>
      <w:r>
        <w:rPr>
          <w:rFonts w:hint="eastAsia"/>
          <w:b/>
          <w:szCs w:val="21"/>
        </w:rPr>
        <w:t>培训</w:t>
      </w:r>
      <w:r>
        <w:rPr>
          <w:rFonts w:hint="eastAsia"/>
          <w:szCs w:val="21"/>
        </w:rPr>
        <w:t>：免费重听，0元试听</w:t>
      </w:r>
      <w:r>
        <w:rPr>
          <w:szCs w:val="21"/>
        </w:rPr>
        <w:t xml:space="preserve"> </w:t>
      </w:r>
    </w:p>
    <w:p w14:paraId="3C5B9E46" w14:textId="77777777" w:rsidR="0017252C" w:rsidRDefault="0017252C" w:rsidP="0017252C">
      <w:pPr>
        <w:rPr>
          <w:szCs w:val="21"/>
        </w:rPr>
      </w:pPr>
      <w:r>
        <w:rPr>
          <w:rFonts w:hint="eastAsia"/>
          <w:b/>
          <w:szCs w:val="21"/>
        </w:rPr>
        <w:t>服务</w:t>
      </w:r>
      <w:r>
        <w:rPr>
          <w:rFonts w:hint="eastAsia"/>
          <w:szCs w:val="21"/>
        </w:rPr>
        <w:t>：</w:t>
      </w:r>
      <w:r>
        <w:rPr>
          <w:szCs w:val="21"/>
        </w:rPr>
        <w:t>提供全套复习视频及考前辅导视频</w:t>
      </w:r>
    </w:p>
    <w:p w14:paraId="21D3B93A" w14:textId="77777777" w:rsidR="0017252C" w:rsidRDefault="0017252C" w:rsidP="0017252C">
      <w:pPr>
        <w:rPr>
          <w:szCs w:val="21"/>
        </w:rPr>
      </w:pPr>
    </w:p>
    <w:p w14:paraId="527598B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适用对象：</w:t>
      </w:r>
    </w:p>
    <w:p w14:paraId="0470C2F5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基层业务和数据人员</w:t>
      </w:r>
    </w:p>
    <w:p w14:paraId="74F3EAF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必须获得CDGA认证或具有同等基础的学员</w:t>
      </w:r>
    </w:p>
    <w:p w14:paraId="4C8B291B" w14:textId="77777777" w:rsidR="0017252C" w:rsidRDefault="0017252C" w:rsidP="0017252C">
      <w:pPr>
        <w:rPr>
          <w:szCs w:val="21"/>
        </w:rPr>
      </w:pPr>
    </w:p>
    <w:p w14:paraId="11B4BD04" w14:textId="77777777" w:rsidR="0017252C" w:rsidRDefault="0017252C" w:rsidP="0017252C">
      <w:pPr>
        <w:rPr>
          <w:szCs w:val="21"/>
        </w:rPr>
      </w:pPr>
    </w:p>
    <w:p w14:paraId="5DC3EB83" w14:textId="77777777" w:rsidR="0017252C" w:rsidRDefault="0017252C" w:rsidP="0017252C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课程内容</w:t>
      </w:r>
    </w:p>
    <w:p w14:paraId="402EEF1C" w14:textId="77777777" w:rsidR="0017252C" w:rsidRDefault="0017252C" w:rsidP="0017252C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第一章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</w:t>
      </w:r>
    </w:p>
    <w:p w14:paraId="6397DBF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掌握数据、数据与信息、数据作为组织资产、数据管理原则、数据管理挑战、数据战略基本概念；掌握数据管理框架基本内容包括：战略模型、阿姆斯特丹模型、DAMA-DMBOK框架、DMBOK金字塔。</w:t>
      </w:r>
    </w:p>
    <w:p w14:paraId="53DD6D1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70ADE7B6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1.1</w:t>
      </w:r>
      <w:r>
        <w:rPr>
          <w:rFonts w:hint="eastAsia"/>
          <w:szCs w:val="21"/>
        </w:rPr>
        <w:tab/>
        <w:t>简介</w:t>
      </w:r>
    </w:p>
    <w:p w14:paraId="5A9F165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1.2</w:t>
      </w:r>
      <w:r>
        <w:rPr>
          <w:rFonts w:hint="eastAsia"/>
          <w:szCs w:val="21"/>
        </w:rPr>
        <w:tab/>
        <w:t>什么是数据？</w:t>
      </w:r>
    </w:p>
    <w:p w14:paraId="2429171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1.3</w:t>
      </w:r>
      <w:r>
        <w:rPr>
          <w:rFonts w:hint="eastAsia"/>
          <w:szCs w:val="21"/>
        </w:rPr>
        <w:tab/>
        <w:t>数据与信息</w:t>
      </w:r>
    </w:p>
    <w:p w14:paraId="5767C77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1.4</w:t>
      </w:r>
      <w:r>
        <w:rPr>
          <w:rFonts w:hint="eastAsia"/>
          <w:szCs w:val="21"/>
        </w:rPr>
        <w:tab/>
        <w:t>数据作为组织资产</w:t>
      </w:r>
    </w:p>
    <w:p w14:paraId="435CE31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1.5</w:t>
      </w:r>
      <w:r>
        <w:rPr>
          <w:rFonts w:hint="eastAsia"/>
          <w:szCs w:val="21"/>
        </w:rPr>
        <w:tab/>
        <w:t>数据管理原则</w:t>
      </w:r>
    </w:p>
    <w:p w14:paraId="5D81040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1.6</w:t>
      </w:r>
      <w:r>
        <w:rPr>
          <w:rFonts w:hint="eastAsia"/>
          <w:szCs w:val="21"/>
        </w:rPr>
        <w:tab/>
        <w:t>数据管理面临的挑战</w:t>
      </w:r>
    </w:p>
    <w:p w14:paraId="398396F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1.7</w:t>
      </w:r>
      <w:r>
        <w:rPr>
          <w:rFonts w:hint="eastAsia"/>
          <w:szCs w:val="21"/>
        </w:rPr>
        <w:tab/>
        <w:t>数据战略</w:t>
      </w:r>
    </w:p>
    <w:p w14:paraId="0843848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1.8</w:t>
      </w:r>
      <w:r>
        <w:rPr>
          <w:rFonts w:hint="eastAsia"/>
          <w:szCs w:val="21"/>
        </w:rPr>
        <w:tab/>
        <w:t>数据管理框架</w:t>
      </w:r>
    </w:p>
    <w:p w14:paraId="21411AF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1.9</w:t>
      </w:r>
      <w:r>
        <w:rPr>
          <w:rFonts w:hint="eastAsia"/>
          <w:szCs w:val="21"/>
        </w:rPr>
        <w:tab/>
        <w:t>DAMA与DMBOK</w:t>
      </w:r>
    </w:p>
    <w:p w14:paraId="59B47EB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1.10</w:t>
      </w:r>
      <w:r>
        <w:rPr>
          <w:rFonts w:hint="eastAsia"/>
          <w:szCs w:val="21"/>
        </w:rPr>
        <w:tab/>
        <w:t>总结</w:t>
      </w:r>
    </w:p>
    <w:p w14:paraId="7C6D745D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第三章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数据治理</w:t>
      </w:r>
    </w:p>
    <w:p w14:paraId="0E15FDB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治理指导原则、数据治理关键驱动因素、数据治理的主要组成内容、数据治理关键指标、数据治理关键输入和输出、数据治理的主要工具、数据治理应用中的策略、数据治理评价理论、数据治理最佳实践。</w:t>
      </w:r>
    </w:p>
    <w:p w14:paraId="7CB3E92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lastRenderedPageBreak/>
        <w:t>课时：</w:t>
      </w:r>
    </w:p>
    <w:p w14:paraId="1D03EDB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3.1</w:t>
      </w:r>
      <w:r>
        <w:rPr>
          <w:rFonts w:hint="eastAsia"/>
          <w:szCs w:val="21"/>
        </w:rPr>
        <w:tab/>
        <w:t>简介</w:t>
      </w:r>
    </w:p>
    <w:p w14:paraId="3AC40F4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3.2</w:t>
      </w:r>
      <w:r>
        <w:rPr>
          <w:rFonts w:hint="eastAsia"/>
          <w:szCs w:val="21"/>
        </w:rPr>
        <w:tab/>
        <w:t>数据治理基本活动</w:t>
      </w:r>
    </w:p>
    <w:p w14:paraId="0E89EEC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3.3</w:t>
      </w:r>
      <w:r>
        <w:rPr>
          <w:rFonts w:hint="eastAsia"/>
          <w:szCs w:val="21"/>
        </w:rPr>
        <w:tab/>
        <w:t>数据治理工具和技术</w:t>
      </w:r>
    </w:p>
    <w:p w14:paraId="5C9B258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3.4</w:t>
      </w:r>
      <w:r>
        <w:rPr>
          <w:rFonts w:hint="eastAsia"/>
          <w:szCs w:val="21"/>
        </w:rPr>
        <w:tab/>
        <w:t>数据治理实施指南</w:t>
      </w:r>
    </w:p>
    <w:p w14:paraId="46FBC44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3.5</w:t>
      </w:r>
      <w:r>
        <w:rPr>
          <w:rFonts w:hint="eastAsia"/>
          <w:szCs w:val="21"/>
        </w:rPr>
        <w:tab/>
        <w:t>数据治理关键指标</w:t>
      </w:r>
    </w:p>
    <w:p w14:paraId="43A6750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3.6</w:t>
      </w:r>
      <w:r>
        <w:rPr>
          <w:rFonts w:hint="eastAsia"/>
          <w:szCs w:val="21"/>
        </w:rPr>
        <w:tab/>
        <w:t>数据治理最佳实践</w:t>
      </w:r>
    </w:p>
    <w:p w14:paraId="63E5143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3.7</w:t>
      </w:r>
      <w:r>
        <w:rPr>
          <w:rFonts w:hint="eastAsia"/>
          <w:szCs w:val="21"/>
        </w:rPr>
        <w:tab/>
        <w:t>总结</w:t>
      </w:r>
    </w:p>
    <w:p w14:paraId="664661EB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数据架构</w:t>
      </w:r>
    </w:p>
    <w:p w14:paraId="3527549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架构指导原则、数据架构关键驱动因素、数据架构的主要组成内容、数据架构关键指标、数据架构关键输入和输出、数据架构的主要工具、数据架构应用中的策略、数据架构评价理论、数据架构最佳实践。</w:t>
      </w:r>
    </w:p>
    <w:p w14:paraId="40E4944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1C19FBF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4.1</w:t>
      </w:r>
      <w:r>
        <w:rPr>
          <w:rFonts w:hint="eastAsia"/>
          <w:szCs w:val="21"/>
        </w:rPr>
        <w:tab/>
        <w:t>简介</w:t>
      </w:r>
    </w:p>
    <w:p w14:paraId="2BE493E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4.2</w:t>
      </w:r>
      <w:r>
        <w:rPr>
          <w:rFonts w:hint="eastAsia"/>
          <w:szCs w:val="21"/>
        </w:rPr>
        <w:tab/>
        <w:t>数据架构基本活动</w:t>
      </w:r>
    </w:p>
    <w:p w14:paraId="7B0A6525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4.3</w:t>
      </w:r>
      <w:r>
        <w:rPr>
          <w:rFonts w:hint="eastAsia"/>
          <w:szCs w:val="21"/>
        </w:rPr>
        <w:tab/>
        <w:t>数据架构工具和技术</w:t>
      </w:r>
    </w:p>
    <w:p w14:paraId="58D73C0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4.4</w:t>
      </w:r>
      <w:r>
        <w:rPr>
          <w:rFonts w:hint="eastAsia"/>
          <w:szCs w:val="21"/>
        </w:rPr>
        <w:tab/>
        <w:t>数据架构实施指南</w:t>
      </w:r>
    </w:p>
    <w:p w14:paraId="542758B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4.5</w:t>
      </w:r>
      <w:r>
        <w:rPr>
          <w:rFonts w:hint="eastAsia"/>
          <w:szCs w:val="21"/>
        </w:rPr>
        <w:tab/>
        <w:t>数据架构关键指标</w:t>
      </w:r>
    </w:p>
    <w:p w14:paraId="04838C2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4.6</w:t>
      </w:r>
      <w:r>
        <w:rPr>
          <w:rFonts w:hint="eastAsia"/>
          <w:szCs w:val="21"/>
        </w:rPr>
        <w:tab/>
        <w:t>数据架构最佳实践</w:t>
      </w:r>
    </w:p>
    <w:p w14:paraId="45A53B17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4.7</w:t>
      </w:r>
      <w:r>
        <w:rPr>
          <w:rFonts w:hint="eastAsia"/>
          <w:szCs w:val="21"/>
        </w:rPr>
        <w:tab/>
        <w:t>总结</w:t>
      </w:r>
    </w:p>
    <w:p w14:paraId="6ED8C9A7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数据建模与设计</w:t>
      </w:r>
    </w:p>
    <w:p w14:paraId="0DBD05E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模型指导原则、数据模型关键驱动因素、数据模型的主要组成内容、数据模型关键指标、数据模型关键输入和输出、数据建模的主要工具、数据模型应用中的策略、数据建模评价理论、数据建模最佳实践。</w:t>
      </w:r>
    </w:p>
    <w:p w14:paraId="2797461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71694A9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5.1</w:t>
      </w:r>
      <w:r>
        <w:rPr>
          <w:rFonts w:hint="eastAsia"/>
          <w:szCs w:val="21"/>
        </w:rPr>
        <w:tab/>
        <w:t>简介</w:t>
      </w:r>
    </w:p>
    <w:p w14:paraId="6F5F089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5.2</w:t>
      </w:r>
      <w:r>
        <w:rPr>
          <w:rFonts w:hint="eastAsia"/>
          <w:szCs w:val="21"/>
        </w:rPr>
        <w:tab/>
        <w:t>数据模型基本活动</w:t>
      </w:r>
    </w:p>
    <w:p w14:paraId="2BDABB8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5.3</w:t>
      </w:r>
      <w:r>
        <w:rPr>
          <w:rFonts w:hint="eastAsia"/>
          <w:szCs w:val="21"/>
        </w:rPr>
        <w:tab/>
        <w:t>数据建模工具和技术</w:t>
      </w:r>
    </w:p>
    <w:p w14:paraId="0158854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5.4</w:t>
      </w:r>
      <w:r>
        <w:rPr>
          <w:rFonts w:hint="eastAsia"/>
          <w:szCs w:val="21"/>
        </w:rPr>
        <w:tab/>
        <w:t>数据建模实施指南</w:t>
      </w:r>
    </w:p>
    <w:p w14:paraId="3BFCE156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5.5</w:t>
      </w:r>
      <w:r>
        <w:rPr>
          <w:rFonts w:hint="eastAsia"/>
          <w:szCs w:val="21"/>
        </w:rPr>
        <w:tab/>
        <w:t>数据模型关键指标</w:t>
      </w:r>
    </w:p>
    <w:p w14:paraId="6F5D681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5.6</w:t>
      </w:r>
      <w:r>
        <w:rPr>
          <w:rFonts w:hint="eastAsia"/>
          <w:szCs w:val="21"/>
        </w:rPr>
        <w:tab/>
        <w:t>数据建模最佳实践</w:t>
      </w:r>
    </w:p>
    <w:p w14:paraId="6D6F73C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5.7</w:t>
      </w:r>
      <w:r>
        <w:rPr>
          <w:rFonts w:hint="eastAsia"/>
          <w:szCs w:val="21"/>
        </w:rPr>
        <w:tab/>
        <w:t>总结</w:t>
      </w:r>
    </w:p>
    <w:p w14:paraId="67BA6EE4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第七章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数据安全</w:t>
      </w:r>
    </w:p>
    <w:p w14:paraId="763CFE8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掌握数据安全指导原则、数据安全关键驱动因素、数据安全的主要组成内容、数据安全关键指标、数据安全关键输入和输出、数据安全的主要工具、数据安全技术、数据安全实施指南、数据治理最佳实践。</w:t>
      </w:r>
    </w:p>
    <w:p w14:paraId="1CFEBD1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73A81E9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7.1</w:t>
      </w:r>
      <w:r>
        <w:rPr>
          <w:rFonts w:hint="eastAsia"/>
          <w:szCs w:val="21"/>
        </w:rPr>
        <w:tab/>
        <w:t>简介</w:t>
      </w:r>
    </w:p>
    <w:p w14:paraId="13AAC33A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7.2</w:t>
      </w:r>
      <w:r>
        <w:rPr>
          <w:rFonts w:hint="eastAsia"/>
          <w:szCs w:val="21"/>
        </w:rPr>
        <w:tab/>
        <w:t>数据安全基本活动</w:t>
      </w:r>
    </w:p>
    <w:p w14:paraId="1910546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lastRenderedPageBreak/>
        <w:t>7.3</w:t>
      </w:r>
      <w:r>
        <w:rPr>
          <w:rFonts w:hint="eastAsia"/>
          <w:szCs w:val="21"/>
        </w:rPr>
        <w:tab/>
        <w:t>数据安全工具和技术</w:t>
      </w:r>
    </w:p>
    <w:p w14:paraId="2283909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7.4</w:t>
      </w:r>
      <w:r>
        <w:rPr>
          <w:rFonts w:hint="eastAsia"/>
          <w:szCs w:val="21"/>
        </w:rPr>
        <w:tab/>
        <w:t>数据安全实施指南</w:t>
      </w:r>
    </w:p>
    <w:p w14:paraId="2C4EFD7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7.5</w:t>
      </w:r>
      <w:r>
        <w:rPr>
          <w:rFonts w:hint="eastAsia"/>
          <w:szCs w:val="21"/>
        </w:rPr>
        <w:tab/>
        <w:t>数据安全关键指标</w:t>
      </w:r>
    </w:p>
    <w:p w14:paraId="6D5FC8A7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7.6</w:t>
      </w:r>
      <w:r>
        <w:rPr>
          <w:rFonts w:hint="eastAsia"/>
          <w:szCs w:val="21"/>
        </w:rPr>
        <w:tab/>
        <w:t>数据安全管理评价</w:t>
      </w:r>
    </w:p>
    <w:p w14:paraId="0EA18E8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7.7</w:t>
      </w:r>
      <w:r>
        <w:rPr>
          <w:rFonts w:hint="eastAsia"/>
          <w:szCs w:val="21"/>
        </w:rPr>
        <w:tab/>
        <w:t>数据安全最佳实践</w:t>
      </w:r>
    </w:p>
    <w:p w14:paraId="66E4AAA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7.8</w:t>
      </w:r>
      <w:r>
        <w:rPr>
          <w:rFonts w:hint="eastAsia"/>
          <w:szCs w:val="21"/>
        </w:rPr>
        <w:tab/>
        <w:t>总结</w:t>
      </w:r>
    </w:p>
    <w:p w14:paraId="6D72AC11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参考数据和主数据</w:t>
      </w:r>
    </w:p>
    <w:p w14:paraId="633FF04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指导原则、参考数据和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关键驱动因素、参考数据和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主要组成内容、参考数据和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关键指标、参考数据和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关键输入和输出、参考数据和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的主要工具、参考数据和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实施指南、参考数据和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评价理论、参考数据和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最佳实践。</w:t>
      </w:r>
    </w:p>
    <w:p w14:paraId="26F0ACA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7A1B6D1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10.1</w:t>
      </w:r>
      <w:r>
        <w:rPr>
          <w:rFonts w:hint="eastAsia"/>
          <w:szCs w:val="21"/>
        </w:rPr>
        <w:tab/>
        <w:t>简介</w:t>
      </w:r>
    </w:p>
    <w:p w14:paraId="0935B61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10.2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基本活动</w:t>
      </w:r>
    </w:p>
    <w:p w14:paraId="6C97985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10.3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工具和技术</w:t>
      </w:r>
    </w:p>
    <w:p w14:paraId="0EBC822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10.4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实施指南</w:t>
      </w:r>
    </w:p>
    <w:p w14:paraId="70DAA4E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10.5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关键指标</w:t>
      </w:r>
    </w:p>
    <w:p w14:paraId="0EF61B3A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10.6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最佳实践</w:t>
      </w:r>
    </w:p>
    <w:p w14:paraId="127F2EC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10.7</w:t>
      </w:r>
      <w:r>
        <w:rPr>
          <w:rFonts w:hint="eastAsia"/>
          <w:szCs w:val="21"/>
        </w:rPr>
        <w:tab/>
        <w:t>总结</w:t>
      </w:r>
    </w:p>
    <w:p w14:paraId="34315BCF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第十一章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数据仓库与商务智能</w:t>
      </w:r>
    </w:p>
    <w:p w14:paraId="649BE8C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</w:t>
      </w:r>
      <w:proofErr w:type="gramStart"/>
      <w:r>
        <w:rPr>
          <w:rFonts w:hint="eastAsia"/>
          <w:szCs w:val="21"/>
        </w:rPr>
        <w:t>数据数据</w:t>
      </w:r>
      <w:proofErr w:type="gramEnd"/>
      <w:r>
        <w:rPr>
          <w:rFonts w:hint="eastAsia"/>
          <w:szCs w:val="21"/>
        </w:rPr>
        <w:t>仓库与商务智能指导原则、数据仓库与商务智能关键驱动因素、数据仓库与商务智能的主要组成内容、数据仓库与商务智能关键指标、数据仓库与商务智能关键输入和输出、数据仓库与商务智能的主要工具、数据仓库与商务智能应用中的策略、数据仓库与商务智能评价理论、数据仓库与商务最佳实践。</w:t>
      </w:r>
    </w:p>
    <w:p w14:paraId="4C3E905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1734E06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11.1</w:t>
      </w:r>
      <w:r>
        <w:rPr>
          <w:rFonts w:hint="eastAsia"/>
          <w:szCs w:val="21"/>
        </w:rPr>
        <w:tab/>
        <w:t>简介</w:t>
      </w:r>
    </w:p>
    <w:p w14:paraId="6290C39A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11.2</w:t>
      </w:r>
      <w:r>
        <w:rPr>
          <w:rFonts w:hint="eastAsia"/>
          <w:szCs w:val="21"/>
        </w:rPr>
        <w:tab/>
        <w:t>数据仓库与商务智能基本活动</w:t>
      </w:r>
    </w:p>
    <w:p w14:paraId="66ACC70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11.3</w:t>
      </w:r>
      <w:r>
        <w:rPr>
          <w:rFonts w:hint="eastAsia"/>
          <w:szCs w:val="21"/>
        </w:rPr>
        <w:tab/>
        <w:t>数据仓库与商务智能工具和技术</w:t>
      </w:r>
    </w:p>
    <w:p w14:paraId="0D5C60D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11.4</w:t>
      </w:r>
      <w:r>
        <w:rPr>
          <w:rFonts w:hint="eastAsia"/>
          <w:szCs w:val="21"/>
        </w:rPr>
        <w:tab/>
        <w:t>数据仓库与商务智能实施指南</w:t>
      </w:r>
    </w:p>
    <w:p w14:paraId="2BFADC69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11.5</w:t>
      </w:r>
      <w:r>
        <w:rPr>
          <w:rFonts w:hint="eastAsia"/>
          <w:szCs w:val="21"/>
        </w:rPr>
        <w:tab/>
        <w:t>数据仓库与商务智能关键指标</w:t>
      </w:r>
    </w:p>
    <w:p w14:paraId="51E6819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11.6</w:t>
      </w:r>
      <w:r>
        <w:rPr>
          <w:rFonts w:hint="eastAsia"/>
          <w:szCs w:val="21"/>
        </w:rPr>
        <w:tab/>
        <w:t>数据仓库与商务智能最佳实践</w:t>
      </w:r>
    </w:p>
    <w:p w14:paraId="130712DE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11.7</w:t>
      </w:r>
      <w:r>
        <w:rPr>
          <w:rFonts w:hint="eastAsia"/>
          <w:szCs w:val="21"/>
        </w:rPr>
        <w:tab/>
        <w:t>总结</w:t>
      </w:r>
    </w:p>
    <w:p w14:paraId="116B9648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第十二章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元数据管理</w:t>
      </w:r>
    </w:p>
    <w:p w14:paraId="6771148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掌握元数据指导原则、元数据关键驱动因素、元数据的主要组成内容、元数据关键指标、元数据关键输入和输出、元数据的主要工具、元数据应用中的策略、元数据评价理论、元数据最佳实践。</w:t>
      </w:r>
    </w:p>
    <w:p w14:paraId="782C9C96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62800CC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12.1</w:t>
      </w:r>
      <w:r>
        <w:rPr>
          <w:rFonts w:hint="eastAsia"/>
          <w:szCs w:val="21"/>
        </w:rPr>
        <w:tab/>
        <w:t>简介</w:t>
      </w:r>
    </w:p>
    <w:p w14:paraId="6576B92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12.2</w:t>
      </w:r>
      <w:r>
        <w:rPr>
          <w:rFonts w:hint="eastAsia"/>
          <w:szCs w:val="21"/>
        </w:rPr>
        <w:tab/>
        <w:t>元数据管理基本活动</w:t>
      </w:r>
    </w:p>
    <w:p w14:paraId="16AA1A56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lastRenderedPageBreak/>
        <w:t>12.3</w:t>
      </w:r>
      <w:r>
        <w:rPr>
          <w:rFonts w:hint="eastAsia"/>
          <w:szCs w:val="21"/>
        </w:rPr>
        <w:tab/>
        <w:t>元数据管理工具和技术</w:t>
      </w:r>
    </w:p>
    <w:p w14:paraId="16C110D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12.4</w:t>
      </w:r>
      <w:r>
        <w:rPr>
          <w:rFonts w:hint="eastAsia"/>
          <w:szCs w:val="21"/>
        </w:rPr>
        <w:tab/>
        <w:t>元数据实施指南</w:t>
      </w:r>
    </w:p>
    <w:p w14:paraId="07AEBE8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12.5</w:t>
      </w:r>
      <w:r>
        <w:rPr>
          <w:rFonts w:hint="eastAsia"/>
          <w:szCs w:val="21"/>
        </w:rPr>
        <w:tab/>
        <w:t>元数据管理关键指标</w:t>
      </w:r>
    </w:p>
    <w:p w14:paraId="55D0E98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12.6</w:t>
      </w:r>
      <w:r>
        <w:rPr>
          <w:rFonts w:hint="eastAsia"/>
          <w:szCs w:val="21"/>
        </w:rPr>
        <w:tab/>
        <w:t>元数据最佳实践</w:t>
      </w:r>
    </w:p>
    <w:p w14:paraId="4A9BFD1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12.7</w:t>
      </w:r>
      <w:r>
        <w:rPr>
          <w:rFonts w:hint="eastAsia"/>
          <w:szCs w:val="21"/>
        </w:rPr>
        <w:tab/>
        <w:t>总结</w:t>
      </w:r>
    </w:p>
    <w:p w14:paraId="5D4950C4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第十三章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数据质量</w:t>
      </w:r>
    </w:p>
    <w:p w14:paraId="60AC613E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数据质量指导原则、数据质量关键驱动因素、数据质量的主要组成内容、数据质量关键指标、数据质量关键输入和输出、数据质量的主要工具、数据质量应用中的策略、数据质量评价理论、数据质量最佳实践。</w:t>
      </w:r>
    </w:p>
    <w:p w14:paraId="501B72E5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4813A03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13.1</w:t>
      </w:r>
      <w:r>
        <w:rPr>
          <w:rFonts w:hint="eastAsia"/>
          <w:szCs w:val="21"/>
        </w:rPr>
        <w:tab/>
        <w:t>简介</w:t>
      </w:r>
    </w:p>
    <w:p w14:paraId="33F5724F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13.2</w:t>
      </w:r>
      <w:r>
        <w:rPr>
          <w:rFonts w:hint="eastAsia"/>
          <w:szCs w:val="21"/>
        </w:rPr>
        <w:tab/>
        <w:t>数据质量基本活动</w:t>
      </w:r>
    </w:p>
    <w:p w14:paraId="6A2F19D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13.3</w:t>
      </w:r>
      <w:r>
        <w:rPr>
          <w:rFonts w:hint="eastAsia"/>
          <w:szCs w:val="21"/>
        </w:rPr>
        <w:tab/>
        <w:t>数据质量工具和技术</w:t>
      </w:r>
    </w:p>
    <w:p w14:paraId="2C0012F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13.4</w:t>
      </w:r>
      <w:r>
        <w:rPr>
          <w:rFonts w:hint="eastAsia"/>
          <w:szCs w:val="21"/>
        </w:rPr>
        <w:tab/>
        <w:t>数据质量实施指南</w:t>
      </w:r>
    </w:p>
    <w:p w14:paraId="19E48C36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13.5</w:t>
      </w:r>
      <w:r>
        <w:rPr>
          <w:rFonts w:hint="eastAsia"/>
          <w:szCs w:val="21"/>
        </w:rPr>
        <w:tab/>
        <w:t>数据质量关键指标</w:t>
      </w:r>
    </w:p>
    <w:p w14:paraId="6FE3BE78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13.6</w:t>
      </w:r>
      <w:r>
        <w:rPr>
          <w:rFonts w:hint="eastAsia"/>
          <w:szCs w:val="21"/>
        </w:rPr>
        <w:tab/>
        <w:t>数据质量最佳实践</w:t>
      </w:r>
    </w:p>
    <w:p w14:paraId="0F0EED0B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13.7</w:t>
      </w:r>
      <w:r>
        <w:rPr>
          <w:rFonts w:hint="eastAsia"/>
          <w:szCs w:val="21"/>
        </w:rPr>
        <w:tab/>
        <w:t>总结</w:t>
      </w:r>
    </w:p>
    <w:p w14:paraId="4AA884C1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大数据与数据科学</w:t>
      </w:r>
    </w:p>
    <w:p w14:paraId="3DF9BE1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掌握大数据指导原则、大数据与数据科学关键驱动因素、大数据与数据科学的主要组成内容、大数据关键指标、大数据关键输入和输出、大数据的主要工具、大数据与数据科学应用中的策略、大数据评价理论、大数据与数据科学最佳实践。</w:t>
      </w:r>
    </w:p>
    <w:p w14:paraId="30FDB03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0F5D717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14.1</w:t>
      </w:r>
      <w:r>
        <w:rPr>
          <w:rFonts w:hint="eastAsia"/>
          <w:szCs w:val="21"/>
        </w:rPr>
        <w:tab/>
        <w:t>简介</w:t>
      </w:r>
    </w:p>
    <w:p w14:paraId="0ED5B885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14.2</w:t>
      </w:r>
      <w:r>
        <w:rPr>
          <w:rFonts w:hint="eastAsia"/>
          <w:szCs w:val="21"/>
        </w:rPr>
        <w:tab/>
        <w:t>大数据与数据科学基本活动</w:t>
      </w:r>
    </w:p>
    <w:p w14:paraId="3814903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14.3</w:t>
      </w:r>
      <w:r>
        <w:rPr>
          <w:rFonts w:hint="eastAsia"/>
          <w:szCs w:val="21"/>
        </w:rPr>
        <w:tab/>
        <w:t>大数据与数据科学工具和技术</w:t>
      </w:r>
    </w:p>
    <w:p w14:paraId="07ECABC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14.4</w:t>
      </w:r>
      <w:r>
        <w:rPr>
          <w:rFonts w:hint="eastAsia"/>
          <w:szCs w:val="21"/>
        </w:rPr>
        <w:tab/>
        <w:t>大数据与数据科学实施指南</w:t>
      </w:r>
    </w:p>
    <w:p w14:paraId="1D85B99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14.5</w:t>
      </w:r>
      <w:r>
        <w:rPr>
          <w:rFonts w:hint="eastAsia"/>
          <w:szCs w:val="21"/>
        </w:rPr>
        <w:tab/>
        <w:t>大数据与数据科学关键指标</w:t>
      </w:r>
    </w:p>
    <w:p w14:paraId="2E2CE132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14.6</w:t>
      </w:r>
      <w:r>
        <w:rPr>
          <w:rFonts w:hint="eastAsia"/>
          <w:szCs w:val="21"/>
        </w:rPr>
        <w:tab/>
        <w:t>大数据与数据科学最佳实践</w:t>
      </w:r>
    </w:p>
    <w:p w14:paraId="0AC7F5C3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14.7</w:t>
      </w:r>
      <w:r>
        <w:rPr>
          <w:rFonts w:hint="eastAsia"/>
          <w:szCs w:val="21"/>
        </w:rPr>
        <w:tab/>
        <w:t>总结</w:t>
      </w:r>
    </w:p>
    <w:p w14:paraId="342BEEF7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数据管理能力成熟度</w:t>
      </w:r>
    </w:p>
    <w:p w14:paraId="147B4B41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hint="eastAsia"/>
          <w:szCs w:val="21"/>
        </w:rPr>
        <w:t>掌握数据管理能力指导原则、数据管理能力成熟度评估关键驱动因素、数据管理能力成熟度的主要组成内容、数据管理能力成熟度关键指标、数据管理能力成熟度关键输入和输出、数据管理能力成熟度的主要工具、数据管理能力成熟度应用策略、数据管理能力成熟度评价理论、数据管理能力成熟度最佳实践。</w:t>
      </w:r>
    </w:p>
    <w:p w14:paraId="5902C811" w14:textId="77777777" w:rsidR="0017252C" w:rsidRDefault="0017252C" w:rsidP="0017252C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课时：</w:t>
      </w:r>
    </w:p>
    <w:p w14:paraId="5AC20AA4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15.1</w:t>
      </w:r>
      <w:r>
        <w:rPr>
          <w:rFonts w:hint="eastAsia"/>
          <w:szCs w:val="21"/>
        </w:rPr>
        <w:tab/>
        <w:t>简介</w:t>
      </w:r>
    </w:p>
    <w:p w14:paraId="611F26F1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lastRenderedPageBreak/>
        <w:t>15.2</w:t>
      </w:r>
      <w:r>
        <w:rPr>
          <w:rFonts w:hint="eastAsia"/>
          <w:szCs w:val="21"/>
        </w:rPr>
        <w:tab/>
        <w:t>数据管理能力成熟度基本活动</w:t>
      </w:r>
    </w:p>
    <w:p w14:paraId="0325E4F0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15.3</w:t>
      </w:r>
      <w:r>
        <w:rPr>
          <w:rFonts w:hint="eastAsia"/>
          <w:szCs w:val="21"/>
        </w:rPr>
        <w:tab/>
        <w:t>数据管理能力成熟度工具和技术</w:t>
      </w:r>
    </w:p>
    <w:p w14:paraId="5FCC888D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15.4</w:t>
      </w:r>
      <w:r>
        <w:rPr>
          <w:rFonts w:hint="eastAsia"/>
          <w:szCs w:val="21"/>
        </w:rPr>
        <w:tab/>
        <w:t>数据管理能力成熟度实施指南</w:t>
      </w:r>
    </w:p>
    <w:p w14:paraId="449F805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15.5</w:t>
      </w:r>
      <w:r>
        <w:rPr>
          <w:rFonts w:hint="eastAsia"/>
          <w:szCs w:val="21"/>
        </w:rPr>
        <w:tab/>
        <w:t>数据管理能力成熟度关键指标</w:t>
      </w:r>
    </w:p>
    <w:p w14:paraId="360C32E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15.6</w:t>
      </w:r>
      <w:r>
        <w:rPr>
          <w:rFonts w:hint="eastAsia"/>
          <w:szCs w:val="21"/>
        </w:rPr>
        <w:tab/>
        <w:t>数据管理能力成熟度最佳实践</w:t>
      </w:r>
    </w:p>
    <w:p w14:paraId="0D0A57FC" w14:textId="77777777" w:rsidR="0017252C" w:rsidRDefault="0017252C" w:rsidP="0017252C">
      <w:pPr>
        <w:rPr>
          <w:szCs w:val="21"/>
        </w:rPr>
      </w:pPr>
      <w:r>
        <w:rPr>
          <w:rFonts w:hint="eastAsia"/>
          <w:szCs w:val="21"/>
        </w:rPr>
        <w:t>15.7</w:t>
      </w:r>
      <w:r>
        <w:rPr>
          <w:rFonts w:hint="eastAsia"/>
          <w:szCs w:val="21"/>
        </w:rPr>
        <w:tab/>
        <w:t>总结</w:t>
      </w:r>
    </w:p>
    <w:p w14:paraId="60DE26A0" w14:textId="77777777" w:rsidR="0017252C" w:rsidRDefault="0017252C" w:rsidP="0017252C">
      <w:pPr>
        <w:pStyle w:val="a3"/>
        <w:widowControl/>
        <w:shd w:val="clear" w:color="auto" w:fill="FFFFFF"/>
        <w:spacing w:beforeAutospacing="0" w:afterAutospacing="0" w:line="288" w:lineRule="atLeast"/>
        <w:jc w:val="both"/>
        <w:rPr>
          <w:sz w:val="21"/>
          <w:szCs w:val="21"/>
        </w:rPr>
      </w:pPr>
    </w:p>
    <w:p w14:paraId="3A9A41A0" w14:textId="77777777" w:rsidR="0017252C" w:rsidRPr="0017252C" w:rsidRDefault="0017252C" w:rsidP="0017252C">
      <w:pPr>
        <w:rPr>
          <w:rFonts w:hint="eastAsia"/>
        </w:rPr>
      </w:pPr>
    </w:p>
    <w:sectPr w:rsidR="0017252C" w:rsidRPr="001725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FD"/>
    <w:rsid w:val="0017252C"/>
    <w:rsid w:val="004B2B06"/>
    <w:rsid w:val="0084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163D"/>
  <w15:chartTrackingRefBased/>
  <w15:docId w15:val="{5C4C9C2F-CCB5-462C-9354-418C36B5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25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252C"/>
    <w:rPr>
      <w:b/>
      <w:bCs/>
      <w:kern w:val="44"/>
      <w:sz w:val="44"/>
      <w:szCs w:val="44"/>
    </w:rPr>
  </w:style>
  <w:style w:type="paragraph" w:styleId="a3">
    <w:name w:val="Normal (Web)"/>
    <w:basedOn w:val="a"/>
    <w:rsid w:val="0017252C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2022-11-24T07:10:00Z</dcterms:created>
  <dcterms:modified xsi:type="dcterms:W3CDTF">2022-11-24T07:11:00Z</dcterms:modified>
</cp:coreProperties>
</file>