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line="795" w:lineRule="exact" w:before="0"/>
        <w:ind w:left="468" w:right="0" w:firstLine="0"/>
        <w:jc w:val="left"/>
        <w:rPr>
          <w:b/>
          <w:sz w:val="44"/>
        </w:rPr>
      </w:pPr>
      <w:r>
        <w:rPr>
          <w:b/>
          <w:sz w:val="44"/>
        </w:rPr>
        <w:t>财务 BP 特训营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7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160"/>
          <w:pgMar w:top="1540" w:bottom="280" w:left="480" w:right="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1"/>
        <w:ind w:left="1082" w:right="0" w:firstLine="0"/>
        <w:jc w:val="left"/>
        <w:rPr>
          <w:b/>
          <w:sz w:val="18"/>
        </w:rPr>
      </w:pPr>
      <w:r>
        <w:rPr>
          <w:b/>
          <w:color w:val="E94F48"/>
          <w:sz w:val="18"/>
        </w:rPr>
        <w:t>适合企业</w:t>
      </w:r>
    </w:p>
    <w:p>
      <w:pPr>
        <w:spacing w:before="53"/>
        <w:ind w:left="1430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173D47"/>
          <w:sz w:val="18"/>
        </w:rPr>
        <w:t>适合人群</w:t>
      </w:r>
    </w:p>
    <w:p>
      <w:pPr>
        <w:spacing w:line="180" w:lineRule="auto" w:before="133"/>
        <w:ind w:left="1082" w:right="3590" w:firstLine="0"/>
        <w:jc w:val="left"/>
        <w:rPr>
          <w:sz w:val="18"/>
        </w:rPr>
      </w:pPr>
      <w:r>
        <w:rPr>
          <w:sz w:val="18"/>
        </w:rPr>
        <w:t>财务 BP、财务经理、财务分析师（包含FP&amp;A、管理会计、经营分析）等职能</w:t>
      </w:r>
    </w:p>
    <w:p>
      <w:pPr>
        <w:spacing w:after="0" w:line="180" w:lineRule="auto"/>
        <w:jc w:val="left"/>
        <w:rPr>
          <w:sz w:val="18"/>
        </w:rPr>
        <w:sectPr>
          <w:type w:val="continuous"/>
          <w:pgSz w:w="11910" w:h="16160"/>
          <w:pgMar w:top="1540" w:bottom="280" w:left="480" w:right="0"/>
          <w:cols w:num="2" w:equalWidth="0">
            <w:col w:w="1843" w:space="1719"/>
            <w:col w:w="7868"/>
          </w:cols>
        </w:sectPr>
      </w:pPr>
    </w:p>
    <w:p>
      <w:pPr>
        <w:spacing w:before="73"/>
        <w:ind w:left="729" w:right="0" w:firstLine="0"/>
        <w:jc w:val="left"/>
        <w:rPr>
          <w:sz w:val="18"/>
        </w:rPr>
      </w:pPr>
      <w:r>
        <w:rPr/>
        <w:pict>
          <v:group style="position:absolute;margin-left:0pt;margin-top:0pt;width:595.35pt;height:808pt;mso-position-horizontal-relative:page;mso-position-vertical-relative:page;z-index:-251979776" coordorigin="0,0" coordsize="11907,16160">
            <v:rect style="position:absolute;left:0;top:0;width:11907;height:795" filled="true" fillcolor="#d29f60" stroked="false">
              <v:fill opacity="13107f" type="solid"/>
            </v:rect>
            <v:shape style="position:absolute;left:794;top:415;width:2628;height:272" coordorigin="794,415" coordsize="2628,272" path="m3422,550l3269,415,794,415,794,684,3269,684,3269,686,3422,550e" filled="true" fillcolor="#d29f60" stroked="false">
              <v:path arrowok="t"/>
              <v:fill type="solid"/>
            </v:shape>
            <v:shape style="position:absolute;left:789;top:400;width:269;height:286" type="#_x0000_t75" stroked="false">
              <v:imagedata r:id="rId5" o:title=""/>
            </v:shape>
            <v:shape style="position:absolute;left:8776;top:891;width:2242;height:519" type="#_x0000_t75" stroked="false">
              <v:imagedata r:id="rId6" o:title=""/>
            </v:shape>
            <v:rect style="position:absolute;left:0;top:15888;width:11907;height:272" filled="true" fillcolor="#d29f60" stroked="false">
              <v:fill type="solid"/>
            </v:rect>
            <v:shape style="position:absolute;left:5401;top:12551;width:6503;height:3605" type="#_x0000_t75" stroked="false">
              <v:imagedata r:id="rId7" o:title=""/>
            </v:shape>
            <v:shape style="position:absolute;left:16;top:19;width:11891;height:16141" type="#_x0000_t75" stroked="false">
              <v:imagedata r:id="rId8" o:title=""/>
            </v:shape>
            <v:shape style="position:absolute;left:694;top:7662;width:7189;height:3940" type="#_x0000_t75" stroked="false">
              <v:imagedata r:id="rId9" o:title=""/>
            </v:shape>
            <v:shape style="position:absolute;left:9180;top:5683;width:804;height:478" coordorigin="9180,5683" coordsize="804,478" path="m9905,6161l9180,6161,9180,5762,9187,5732,9204,5706,9230,5689,9262,5683,9984,5683,9984,6082,9978,6112,9962,6137,9936,6154,9905,6161xe" filled="true" fillcolor="#d29f60" stroked="false">
              <v:path arrowok="t"/>
              <v:fill type="solid"/>
            </v:shape>
            <v:shape style="position:absolute;left:9345;top:5849;width:146;height:200" type="#_x0000_t75" stroked="false">
              <v:imagedata r:id="rId10" o:title=""/>
            </v:shape>
            <v:shape style="position:absolute;left:9489;top:5847;width:235;height:206" type="#_x0000_t75" stroked="false">
              <v:imagedata r:id="rId11" o:title=""/>
            </v:shape>
            <w10:wrap type="none"/>
          </v:group>
        </w:pict>
      </w:r>
      <w:r>
        <w:rPr>
          <w:sz w:val="18"/>
        </w:rPr>
        <w:t>希望推进业财融合，提升财务、业务影响力的企业</w:t>
      </w:r>
    </w:p>
    <w:p>
      <w:pPr>
        <w:spacing w:after="0"/>
        <w:jc w:val="left"/>
        <w:rPr>
          <w:sz w:val="18"/>
        </w:rPr>
        <w:sectPr>
          <w:type w:val="continuous"/>
          <w:pgSz w:w="11910" w:h="16160"/>
          <w:pgMar w:top="1540" w:bottom="280" w:left="480" w:right="0"/>
        </w:sectPr>
      </w:pPr>
    </w:p>
    <w:p>
      <w:pPr>
        <w:pStyle w:val="BodyText"/>
        <w:ind w:left="8296"/>
      </w:pPr>
      <w:r>
        <w:rPr/>
        <w:pict>
          <v:group style="position:absolute;margin-left:0pt;margin-top:627.591003pt;width:595.35pt;height:180.4pt;mso-position-horizontal-relative:page;mso-position-vertical-relative:page;z-index:251671552" coordorigin="0,12552" coordsize="11907,3608">
            <v:rect style="position:absolute;left:0;top:15888;width:11907;height:272" filled="true" fillcolor="#d29f60" stroked="false">
              <v:fill type="solid"/>
            </v:rect>
            <v:shape style="position:absolute;left:5401;top:12551;width:6503;height:3605" type="#_x0000_t75" stroked="false">
              <v:imagedata r:id="rId7" o:title=""/>
            </v:shape>
            <v:shape style="position:absolute;left:1793;top:12823;width:641;height:1631" coordorigin="1793,12824" coordsize="641,1631" path="m2418,14141l2413,14110,2395,14083,2165,13853,2137,13835,2106,13829,2075,13835,2047,13853,1817,14083,1799,14111,1793,14142,1799,14172,1817,14198,2047,14431,2074,14448,2105,14454,2136,14448,2162,14431,2395,14198,2413,14172,2418,14141m2433,13136l2427,13105,2410,13078,2179,12847,2152,12830,2121,12824,2091,12830,2064,12847,1831,13080,1814,13107,1808,13137,1814,13168,1831,13195,2062,13426,2089,13443,2120,13449,2150,13443,2177,13426,2410,13193,2427,13166,2433,13136e" filled="true" fillcolor="#d29f60" stroked="false">
              <v:path arrowok="t"/>
              <v:fill type="solid"/>
            </v:shape>
            <v:rect style="position:absolute;left:2464;top:13766;width:6752;height:586" filled="true" fillcolor="#ffffff" stroked="false">
              <v:fill type="solid"/>
            </v:rect>
            <v:shape style="position:absolute;left:1967;top:13013;width:7113;height:287" type="#_x0000_t202" filled="false" stroked="false">
              <v:textbox inset="0,0,0,0">
                <w:txbxContent>
                  <w:p>
                    <w:pPr>
                      <w:tabs>
                        <w:tab w:pos="662" w:val="left" w:leader="none"/>
                      </w:tabs>
                      <w:spacing w:line="28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Calibri" w:eastAsia="Calibri"/>
                        <w:color w:val="FFFFFF"/>
                        <w:sz w:val="28"/>
                      </w:rPr>
                      <w:t>01</w:t>
                      <w:tab/>
                    </w:r>
                    <w:r>
                      <w:rPr>
                        <w:color w:val="252525"/>
                        <w:spacing w:val="-5"/>
                        <w:sz w:val="21"/>
                      </w:rPr>
                      <w:t>财务 </w:t>
                    </w:r>
                    <w:r>
                      <w:rPr>
                        <w:color w:val="252525"/>
                        <w:sz w:val="21"/>
                      </w:rPr>
                      <w:t>BP、财务分析师 (包含 FP&amp;A)、管理会计、经营分析等相关职能</w:t>
                    </w:r>
                  </w:p>
                </w:txbxContent>
              </v:textbox>
              <w10:wrap type="none"/>
            </v:shape>
            <v:shape style="position:absolute;left:1953;top:14019;width:4881;height:287" type="#_x0000_t202" filled="false" stroked="false">
              <v:textbox inset="0,0,0,0">
                <w:txbxContent>
                  <w:p>
                    <w:pPr>
                      <w:tabs>
                        <w:tab w:pos="662" w:val="left" w:leader="none"/>
                      </w:tabs>
                      <w:spacing w:line="28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Calibri" w:eastAsia="Calibri"/>
                        <w:color w:val="FFFFFF"/>
                        <w:sz w:val="28"/>
                      </w:rPr>
                      <w:t>02</w:t>
                      <w:tab/>
                    </w:r>
                    <w:r>
                      <w:rPr>
                        <w:color w:val="252525"/>
                        <w:sz w:val="21"/>
                      </w:rPr>
                      <w:t>财务总监、财务经理、财务主管等财务管理层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1453988" cy="336613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988" cy="3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380365</wp:posOffset>
            </wp:positionH>
            <wp:positionV relativeFrom="paragraph">
              <wp:posOffset>169468</wp:posOffset>
            </wp:positionV>
            <wp:extent cx="275822" cy="266700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2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8.199997pt;margin-top:12.268941pt;width:472.05pt;height:20.4pt;mso-position-horizontal-relative:page;mso-position-vertical-relative:paragraph;z-index:-251655168;mso-wrap-distance-left:0;mso-wrap-distance-right:0" coordorigin="1364,245" coordsize="9441,408">
            <v:shape style="position:absolute;left:10671;top:250;width:133;height:387" type="#_x0000_t75" stroked="false">
              <v:imagedata r:id="rId14" o:title=""/>
            </v:shape>
            <v:line style="position:absolute" from="1364,253" to="10784,253" stroked="true" strokeweight=".75pt" strokecolor="#d29f60">
              <v:stroke dashstyle="solid"/>
            </v:line>
            <v:shape style="position:absolute;left:1364;top:245;width:9441;height:408" type="#_x0000_t202" filled="false" stroked="false">
              <v:textbox inset="0,0,0,0">
                <w:txbxContent>
                  <w:p>
                    <w:pPr>
                      <w:spacing w:line="380" w:lineRule="exact" w:before="28"/>
                      <w:ind w:left="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E3E3E"/>
                        <w:sz w:val="24"/>
                      </w:rPr>
                      <w:t>课程背景 </w:t>
                    </w:r>
                    <w:r>
                      <w:rPr>
                        <w:color w:val="BDBDBD"/>
                        <w:sz w:val="24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"/>
        </w:rPr>
      </w:pPr>
    </w:p>
    <w:p>
      <w:pPr>
        <w:pStyle w:val="BodyText"/>
        <w:spacing w:line="20" w:lineRule="exact"/>
        <w:ind w:left="876"/>
        <w:rPr>
          <w:sz w:val="2"/>
        </w:rPr>
      </w:pPr>
      <w:r>
        <w:rPr>
          <w:sz w:val="2"/>
        </w:rPr>
        <w:pict>
          <v:group style="width:471pt;height:.75pt;mso-position-horizontal-relative:char;mso-position-vertical-relative:line" coordorigin="0,0" coordsize="9420,15">
            <v:line style="position:absolute" from="0,8" to="9420,8" stroked="true" strokeweight=".75pt" strokecolor="#d29f6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line="256" w:lineRule="auto" w:before="66"/>
        <w:ind w:right="591" w:firstLine="420"/>
        <w:jc w:val="both"/>
      </w:pPr>
      <w:r>
        <w:rPr/>
        <w:t>数字经济时代，企业的商业模式正在不断地发生改变，而作为与企业发展步伐相匹配的企业组织形式也</w:t>
      </w:r>
      <w:r>
        <w:rPr>
          <w:spacing w:val="-2"/>
        </w:rPr>
        <w:t>在不断发生变化。财务 </w:t>
      </w:r>
      <w:r>
        <w:rPr/>
        <w:t>BP，</w:t>
      </w:r>
      <w:r>
        <w:rPr>
          <w:spacing w:val="-3"/>
        </w:rPr>
        <w:t>作为当代企业 </w:t>
      </w:r>
      <w:r>
        <w:rPr/>
        <w:t>BP</w:t>
      </w:r>
      <w:r>
        <w:rPr>
          <w:spacing w:val="-4"/>
        </w:rPr>
        <w:t> 模式下的一块分支，以及当代财务转型和变革的模式之一，旨在为企业内部各业务单元，提供更及时、更便捷的专业财务服务，不断提升内部信息传导效率和决策效率， 不断推动“财务价值在企业中得到充分体现”向前发展。</w:t>
      </w:r>
    </w:p>
    <w:p>
      <w:pPr>
        <w:spacing w:line="256" w:lineRule="auto" w:before="0"/>
        <w:ind w:left="916" w:right="550" w:firstLine="420"/>
        <w:jc w:val="both"/>
        <w:rPr>
          <w:sz w:val="21"/>
        </w:rPr>
      </w:pPr>
      <w:r>
        <w:rPr>
          <w:spacing w:val="-10"/>
          <w:sz w:val="21"/>
        </w:rPr>
        <w:t>财务 </w:t>
      </w:r>
      <w:r>
        <w:rPr>
          <w:sz w:val="21"/>
        </w:rPr>
        <w:t>BP</w:t>
      </w:r>
      <w:r>
        <w:rPr>
          <w:spacing w:val="-2"/>
          <w:sz w:val="21"/>
        </w:rPr>
        <w:t>，它摒弃了传统会计事后分析和控制的弊端，而是将财务管理的抓手直接伸向业务，实时把控业</w:t>
      </w:r>
      <w:r>
        <w:rPr>
          <w:spacing w:val="-9"/>
          <w:sz w:val="21"/>
        </w:rPr>
        <w:t>务风险，及时追踪业务动态，从根本上解决业务痛点，提升企业经营业绩。作为新兴财务岗位，财务 </w:t>
      </w:r>
      <w:r>
        <w:rPr>
          <w:sz w:val="21"/>
        </w:rPr>
        <w:t>BP</w:t>
      </w:r>
      <w:r>
        <w:rPr>
          <w:spacing w:val="-8"/>
          <w:sz w:val="21"/>
        </w:rPr>
        <w:t> 发展前景大，市场需求多，岗位薪资高，是市场青睐的热门职业对象。</w:t>
      </w:r>
    </w:p>
    <w:p>
      <w:pPr>
        <w:spacing w:before="0"/>
        <w:ind w:left="916" w:right="0" w:firstLine="0"/>
        <w:jc w:val="left"/>
        <w:rPr>
          <w:sz w:val="21"/>
        </w:rPr>
      </w:pPr>
      <w:r>
        <w:rPr>
          <w:sz w:val="21"/>
        </w:rPr>
        <w:t>BP 模式作为企业业财融合模式下的新探索也遇到很多新问题：</w:t>
      </w:r>
    </w:p>
    <w:p>
      <w:pPr>
        <w:spacing w:line="256" w:lineRule="auto" w:before="28"/>
        <w:ind w:left="916" w:right="549" w:firstLine="0"/>
        <w:jc w:val="left"/>
        <w:rPr>
          <w:sz w:val="21"/>
        </w:rPr>
      </w:pPr>
      <w:r>
        <w:rPr>
          <w:b/>
          <w:sz w:val="21"/>
        </w:rPr>
        <w:t>【认知不清】</w:t>
      </w:r>
      <w:r>
        <w:rPr>
          <w:sz w:val="21"/>
        </w:rPr>
        <w:t>对于 BP 的角色认知模糊，在财务管控上，BP 的管控介入点不清晰，缺少有效的方法论指导， 对业务的专业支持度不够</w:t>
      </w:r>
    </w:p>
    <w:p>
      <w:pPr>
        <w:spacing w:line="387" w:lineRule="exact" w:before="0"/>
        <w:ind w:left="916" w:right="0" w:firstLine="0"/>
        <w:jc w:val="left"/>
        <w:rPr>
          <w:sz w:val="21"/>
        </w:rPr>
      </w:pPr>
      <w:r>
        <w:rPr>
          <w:b/>
          <w:sz w:val="21"/>
        </w:rPr>
        <w:t>【不懂业务】</w:t>
      </w:r>
      <w:r>
        <w:rPr>
          <w:sz w:val="21"/>
        </w:rPr>
        <w:t>对业务的理解与了解始终停留在表面，没有办法也没有精力深入理解，不能更好的服务于业务</w:t>
      </w:r>
    </w:p>
    <w:p>
      <w:pPr>
        <w:spacing w:line="256" w:lineRule="auto" w:before="26"/>
        <w:ind w:left="916" w:right="550" w:firstLine="0"/>
        <w:jc w:val="left"/>
        <w:rPr>
          <w:sz w:val="21"/>
        </w:rPr>
      </w:pPr>
      <w:r>
        <w:rPr>
          <w:b/>
          <w:spacing w:val="-3"/>
          <w:sz w:val="21"/>
        </w:rPr>
        <w:t>【不善协调】</w:t>
      </w:r>
      <w:r>
        <w:rPr>
          <w:spacing w:val="-7"/>
          <w:sz w:val="21"/>
        </w:rPr>
        <w:t>财务 </w:t>
      </w:r>
      <w:r>
        <w:rPr>
          <w:sz w:val="21"/>
        </w:rPr>
        <w:t>BP</w:t>
      </w:r>
      <w:r>
        <w:rPr>
          <w:spacing w:val="-9"/>
          <w:sz w:val="21"/>
        </w:rPr>
        <w:t> 跨财务和业务部门工作，协调业务与财务部门矛盾，两面沟通，既要赢得业务信赖，又要坚持财务专业和底线，分寸难以把握。</w:t>
      </w:r>
    </w:p>
    <w:p>
      <w:pPr>
        <w:pStyle w:val="BodyText"/>
        <w:spacing w:before="17"/>
        <w:rPr>
          <w:sz w:val="14"/>
        </w:rPr>
      </w:pPr>
      <w:r>
        <w:rPr/>
        <w:pict>
          <v:group style="position:absolute;margin-left:34.049999pt;margin-top:17.472839pt;width:22.6pt;height:29.8pt;mso-position-horizontal-relative:page;mso-position-vertical-relative:paragraph;z-index:-251653120;mso-wrap-distance-left:0;mso-wrap-distance-right:0" coordorigin="681,349" coordsize="452,596">
            <v:shape style="position:absolute;left:681;top:349;width:359;height:485" coordorigin="681,349" coordsize="359,485" path="m1025,834l696,834,693,834,689,833,687,831,684,829,682,826,681,823,681,819,681,364,681,361,682,358,684,355,687,353,689,351,693,350,696,349,1025,349,1028,350,1031,351,1034,353,1037,355,1038,358,1039,361,1040,364,711,364,696,379,711,379,711,804,696,804,711,819,1040,819,1039,823,1038,826,1037,829,1034,831,1031,833,1028,834,1025,834xm711,379l696,379,711,364,711,379xm1010,379l711,379,711,364,1010,364,1010,379xm1010,819l1010,364,1025,379,1040,379,1040,804,1025,804,1010,819xm1040,379l1025,379,1010,364,1040,364,1040,379xm711,819l696,804,711,804,711,819xm1010,819l711,819,711,804,1010,804,1010,819xm1040,819l1010,819,1025,804,1040,804,1040,819xe" filled="true" fillcolor="#d29f60" stroked="false">
              <v:path arrowok="t"/>
              <v:fill type="solid"/>
            </v:shape>
            <v:rect style="position:absolute;left:914;top:645;width:219;height:300" filled="true" fillcolor="#d29f60" stroked="false">
              <v:fill type="solid"/>
            </v:rect>
            <w10:wrap type="topAndBottom"/>
          </v:group>
        </w:pict>
      </w:r>
      <w:r>
        <w:rPr/>
        <w:pict>
          <v:group style="position:absolute;margin-left:73.703003pt;margin-top:15.76684pt;width:489.7pt;height:27.8pt;mso-position-horizontal-relative:page;mso-position-vertical-relative:paragraph;z-index:-251651072;mso-wrap-distance-left:0;mso-wrap-distance-right:0" coordorigin="1474,315" coordsize="9794,556">
            <v:shape style="position:absolute;left:11129;top:321;width:139;height:550" type="#_x0000_t75" stroked="false">
              <v:imagedata r:id="rId15" o:title=""/>
            </v:shape>
            <v:line style="position:absolute" from="1474,323" to="11246,323" stroked="true" strokeweight=".75pt" strokecolor="#d29f60">
              <v:stroke dashstyle="solid"/>
            </v:line>
            <v:line style="position:absolute" from="1474,861" to="11246,861" stroked="true" strokeweight=".75pt" strokecolor="#d29f60">
              <v:stroke dashstyle="solid"/>
            </v:line>
            <v:shape style="position:absolute;left:1474;top:315;width:9794;height:556" type="#_x0000_t202" filled="false" stroked="false">
              <v:textbox inset="0,0,0,0">
                <w:txbxContent>
                  <w:p>
                    <w:pPr>
                      <w:spacing w:before="64"/>
                      <w:ind w:left="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E3E3E"/>
                        <w:sz w:val="24"/>
                      </w:rPr>
                      <w:t>课程收益 </w:t>
                    </w:r>
                    <w:r>
                      <w:rPr>
                        <w:color w:val="BDBDBD"/>
                        <w:sz w:val="24"/>
                      </w:rPr>
                      <w:t>Benefits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332" w:lineRule="exact" w:before="0"/>
        <w:ind w:left="828" w:right="0" w:firstLine="0"/>
        <w:jc w:val="left"/>
        <w:rPr>
          <w:sz w:val="21"/>
        </w:rPr>
      </w:pPr>
      <w:r>
        <w:rPr>
          <w:color w:val="D29F60"/>
          <w:sz w:val="21"/>
        </w:rPr>
        <w:t>【清晰认知】</w:t>
      </w:r>
      <w:r>
        <w:rPr>
          <w:color w:val="252525"/>
          <w:sz w:val="21"/>
        </w:rPr>
        <w:t>清晰财务 BP 的岗位职责，并通过课程了解自身的能力阶段与提升方向</w:t>
      </w:r>
    </w:p>
    <w:p>
      <w:pPr>
        <w:spacing w:before="186"/>
        <w:ind w:left="828" w:right="0" w:firstLine="0"/>
        <w:jc w:val="left"/>
        <w:rPr>
          <w:sz w:val="21"/>
        </w:rPr>
      </w:pPr>
      <w:r>
        <w:rPr>
          <w:color w:val="D29F60"/>
          <w:sz w:val="21"/>
        </w:rPr>
        <w:t>【专业提升】</w:t>
      </w:r>
      <w:r>
        <w:rPr>
          <w:color w:val="252525"/>
          <w:sz w:val="21"/>
        </w:rPr>
        <w:t>以经营分析会为落脚点，培养高质量经营分析建议的输出能力，完美展现财务 BP 专业力</w:t>
      </w:r>
    </w:p>
    <w:p>
      <w:pPr>
        <w:spacing w:before="187"/>
        <w:ind w:left="828" w:right="0" w:firstLine="0"/>
        <w:jc w:val="left"/>
        <w:rPr>
          <w:sz w:val="21"/>
        </w:rPr>
      </w:pPr>
      <w:r>
        <w:rPr>
          <w:color w:val="D29F60"/>
          <w:sz w:val="21"/>
        </w:rPr>
        <w:t>【融入业务】</w:t>
      </w:r>
      <w:r>
        <w:rPr>
          <w:color w:val="252525"/>
          <w:sz w:val="21"/>
        </w:rPr>
        <w:t>为 BP 提供快速熟悉业务、与业务建立深度互信的有效方法，帮助 BP 成为财务中的业务专家</w:t>
      </w:r>
    </w:p>
    <w:p>
      <w:pPr>
        <w:spacing w:line="256" w:lineRule="auto" w:before="189"/>
        <w:ind w:left="2088" w:right="802" w:hanging="1260"/>
        <w:jc w:val="left"/>
        <w:rPr>
          <w:sz w:val="21"/>
        </w:rPr>
      </w:pPr>
      <w:r>
        <w:rPr>
          <w:color w:val="D29F60"/>
          <w:sz w:val="21"/>
        </w:rPr>
        <w:t>【价值提升】</w:t>
      </w:r>
      <w:r>
        <w:rPr>
          <w:color w:val="252525"/>
          <w:sz w:val="21"/>
        </w:rPr>
        <w:t>通过财务 BP 工作模式的系统提升，清晰在业务经营中财务 BP 的价值赋能点与赋能方式，以更加全面的视角，协同财务、业务，为企业的价值管理赋能。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79.692001pt,14.56571pt" to="551.848001pt,14.56571pt" stroked="true" strokeweight=".75pt" strokecolor="#d29f6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tabs>
          <w:tab w:pos="1105" w:val="left" w:leader="none"/>
        </w:tabs>
        <w:ind w:left="347"/>
      </w:pPr>
      <w:r>
        <w:rPr/>
        <w:drawing>
          <wp:inline distT="0" distB="0" distL="0" distR="0">
            <wp:extent cx="275822" cy="266700"/>
            <wp:effectExtent l="0" t="0" r="0" b="0"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2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5"/>
        </w:rPr>
        <w:pict>
          <v:group style="width:473.2pt;height:23.05pt;mso-position-horizontal-relative:char;mso-position-vertical-relative:line" coordorigin="0,0" coordsize="9464,461">
            <v:shape style="position:absolute;left:9330;top:74;width:134;height:387" type="#_x0000_t75" stroked="false">
              <v:imagedata r:id="rId17" o:title=""/>
            </v:shape>
            <v:line style="position:absolute" from="0,452" to="9443,452" stroked="true" strokeweight=".75pt" strokecolor="#d29f60">
              <v:stroke dashstyle="solid"/>
            </v:line>
            <v:shape style="position:absolute;left:0;top:0;width:9464;height:461" type="#_x0000_t202" filled="false" stroked="false">
              <v:textbox inset="0,0,0,0">
                <w:txbxContent>
                  <w:p>
                    <w:pPr>
                      <w:spacing w:line="380" w:lineRule="exact" w:before="0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E3E3E"/>
                        <w:sz w:val="24"/>
                      </w:rPr>
                      <w:t>课程对象 </w:t>
                    </w:r>
                    <w:r>
                      <w:rPr>
                        <w:color w:val="BDBDBD"/>
                        <w:sz w:val="24"/>
                      </w:rPr>
                      <w:t>Target Audience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"/>
        </w:rPr>
      </w:r>
    </w:p>
    <w:p>
      <w:pPr>
        <w:spacing w:after="0"/>
        <w:sectPr>
          <w:headerReference w:type="default" r:id="rId12"/>
          <w:pgSz w:w="11910" w:h="16160"/>
          <w:pgMar w:header="0" w:footer="0" w:top="880" w:bottom="0" w:left="480" w:right="0"/>
        </w:sectPr>
      </w:pPr>
    </w:p>
    <w:p>
      <w:pPr>
        <w:pStyle w:val="BodyText"/>
        <w:ind w:left="8296"/>
      </w:pPr>
      <w:r>
        <w:rPr/>
        <w:pict>
          <v:group style="position:absolute;margin-left:0pt;margin-top:137.279999pt;width:595.35pt;height:670.7pt;mso-position-horizontal-relative:page;mso-position-vertical-relative:page;z-index:-251962368" coordorigin="0,2746" coordsize="11907,13414">
            <v:rect style="position:absolute;left:0;top:15888;width:11907;height:272" filled="true" fillcolor="#d29f60" stroked="false">
              <v:fill type="solid"/>
            </v:rect>
            <v:shape style="position:absolute;left:5401;top:12551;width:6503;height:3605" type="#_x0000_t75" stroked="false">
              <v:imagedata r:id="rId7" o:title=""/>
            </v:shape>
            <v:shape style="position:absolute;left:7946;top:2745;width:3961;height:12240" type="#_x0000_t75" stroked="false">
              <v:imagedata r:id="rId18" o:title=""/>
            </v:shape>
            <w10:wrap type="none"/>
          </v:group>
        </w:pict>
      </w:r>
      <w:r>
        <w:rPr/>
        <w:drawing>
          <wp:inline distT="0" distB="0" distL="0" distR="0">
            <wp:extent cx="1453988" cy="336613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988" cy="3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504825</wp:posOffset>
            </wp:positionH>
            <wp:positionV relativeFrom="paragraph">
              <wp:posOffset>155498</wp:posOffset>
            </wp:positionV>
            <wp:extent cx="277648" cy="266700"/>
            <wp:effectExtent l="0" t="0" r="0" b="0"/>
            <wp:wrapTopAndBottom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48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8pt;margin-top:11.168941pt;width:472.05pt;height:19.6pt;mso-position-horizontal-relative:page;mso-position-vertical-relative:paragraph;z-index:-251641856;mso-wrap-distance-left:0;mso-wrap-distance-right:0" coordorigin="1560,223" coordsize="9441,392">
            <v:shape style="position:absolute;left:10867;top:228;width:133;height:387" type="#_x0000_t75" stroked="false">
              <v:imagedata r:id="rId14" o:title=""/>
            </v:shape>
            <v:line style="position:absolute" from="1560,231" to="10980,231" stroked="true" strokeweight=".75pt" strokecolor="#d29f60">
              <v:stroke dashstyle="solid"/>
            </v:line>
            <v:shape style="position:absolute;left:1560;top:223;width:9441;height:392" type="#_x0000_t202" filled="false" stroked="false">
              <v:textbox inset="0,0,0,0">
                <w:txbxContent>
                  <w:p>
                    <w:pPr>
                      <w:tabs>
                        <w:tab w:pos="9419" w:val="left" w:leader="none"/>
                      </w:tabs>
                      <w:spacing w:line="391" w:lineRule="exact" w:before="0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E3E3E"/>
                        <w:sz w:val="24"/>
                        <w:u w:val="single" w:color="D29F60"/>
                      </w:rPr>
                      <w:t>课程内容</w:t>
                    </w:r>
                    <w:r>
                      <w:rPr>
                        <w:b/>
                        <w:color w:val="3E3E3E"/>
                        <w:spacing w:val="40"/>
                        <w:sz w:val="24"/>
                        <w:u w:val="single" w:color="D29F60"/>
                      </w:rPr>
                      <w:t> </w:t>
                    </w:r>
                    <w:r>
                      <w:rPr>
                        <w:color w:val="BDBDBD"/>
                        <w:sz w:val="24"/>
                        <w:u w:val="single" w:color="D29F60"/>
                      </w:rPr>
                      <w:t>Syllabus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tabs>
          <w:tab w:pos="1223" w:val="left" w:leader="none"/>
        </w:tabs>
        <w:spacing w:before="98"/>
      </w:pPr>
      <w:r>
        <w:rPr>
          <w:color w:val="D29F60"/>
        </w:rPr>
        <w:t>模</w:t>
      </w:r>
      <w:r>
        <w:rPr>
          <w:color w:val="D29F60"/>
          <w:spacing w:val="-3"/>
        </w:rPr>
        <w:t>块</w:t>
      </w:r>
      <w:r>
        <w:rPr>
          <w:color w:val="D29F60"/>
        </w:rPr>
        <w:t>一</w:t>
        <w:tab/>
        <w:t>财</w:t>
      </w:r>
      <w:r>
        <w:rPr>
          <w:color w:val="D29F60"/>
          <w:spacing w:val="55"/>
        </w:rPr>
        <w:t>务</w:t>
      </w:r>
      <w:r>
        <w:rPr>
          <w:color w:val="D29F60"/>
        </w:rPr>
        <w:t>BP</w:t>
      </w:r>
      <w:r>
        <w:rPr>
          <w:color w:val="D29F60"/>
          <w:spacing w:val="-14"/>
        </w:rPr>
        <w:t> </w:t>
      </w:r>
      <w:r>
        <w:rPr>
          <w:color w:val="D29F60"/>
        </w:rPr>
        <w:t>的</w:t>
      </w:r>
      <w:r>
        <w:rPr>
          <w:color w:val="D29F60"/>
          <w:spacing w:val="-3"/>
        </w:rPr>
        <w:t>角</w:t>
      </w:r>
      <w:r>
        <w:rPr>
          <w:color w:val="D29F60"/>
        </w:rPr>
        <w:t>色定</w:t>
      </w:r>
      <w:r>
        <w:rPr>
          <w:color w:val="D29F60"/>
          <w:spacing w:val="-3"/>
        </w:rPr>
        <w:t>位</w:t>
      </w:r>
      <w:r>
        <w:rPr>
          <w:color w:val="D29F60"/>
        </w:rPr>
        <w:t>与组</w:t>
      </w:r>
      <w:r>
        <w:rPr>
          <w:color w:val="D29F60"/>
          <w:spacing w:val="-3"/>
        </w:rPr>
        <w:t>织</w:t>
      </w:r>
      <w:r>
        <w:rPr>
          <w:color w:val="D29F60"/>
        </w:rPr>
        <w:t>价值</w:t>
      </w:r>
    </w:p>
    <w:p>
      <w:pPr>
        <w:pStyle w:val="BodyText"/>
        <w:spacing w:before="17"/>
        <w:rPr>
          <w:b/>
          <w:sz w:val="13"/>
        </w:rPr>
      </w:pPr>
    </w:p>
    <w:p>
      <w:pPr>
        <w:pStyle w:val="Heading3"/>
        <w:numPr>
          <w:ilvl w:val="1"/>
          <w:numId w:val="1"/>
        </w:numPr>
        <w:tabs>
          <w:tab w:pos="699" w:val="left" w:leader="none"/>
        </w:tabs>
        <w:spacing w:line="240" w:lineRule="auto" w:before="0" w:after="0"/>
        <w:ind w:left="698" w:right="0" w:hanging="354"/>
        <w:jc w:val="left"/>
      </w:pPr>
      <w:r>
        <w:rPr>
          <w:spacing w:val="-2"/>
        </w:rPr>
        <w:t>清晰财务 </w:t>
      </w:r>
      <w:r>
        <w:rPr/>
        <w:t>BP</w:t>
      </w:r>
      <w:r>
        <w:rPr>
          <w:spacing w:val="3"/>
        </w:rPr>
        <w:t> 角色与价值定位</w:t>
      </w:r>
    </w:p>
    <w:p>
      <w:pPr>
        <w:pStyle w:val="BodyText"/>
        <w:spacing w:before="145"/>
        <w:ind w:left="345"/>
      </w:pPr>
      <w:r>
        <w:rPr/>
        <w:t>-财务发展阶段与业务财务的兴起</w:t>
      </w:r>
    </w:p>
    <w:p>
      <w:pPr>
        <w:pStyle w:val="BodyText"/>
        <w:spacing w:before="145"/>
        <w:ind w:left="345"/>
      </w:pPr>
      <w:r>
        <w:rPr/>
        <w:t>-财务 BP 的组织价值匹配</w:t>
      </w:r>
    </w:p>
    <w:p>
      <w:pPr>
        <w:pStyle w:val="BodyText"/>
        <w:spacing w:before="147"/>
        <w:ind w:left="345"/>
      </w:pPr>
      <w:r>
        <w:rPr/>
        <w:t>-财务 BP 通用能力模型</w:t>
      </w:r>
    </w:p>
    <w:p>
      <w:pPr>
        <w:pStyle w:val="Heading3"/>
        <w:numPr>
          <w:ilvl w:val="1"/>
          <w:numId w:val="1"/>
        </w:numPr>
        <w:tabs>
          <w:tab w:pos="699" w:val="left" w:leader="none"/>
        </w:tabs>
        <w:spacing w:line="240" w:lineRule="auto" w:before="145" w:after="0"/>
        <w:ind w:left="698" w:right="0" w:hanging="354"/>
        <w:jc w:val="left"/>
      </w:pPr>
      <w:r>
        <w:rPr>
          <w:spacing w:val="-2"/>
        </w:rPr>
        <w:t>解析企业对财务 </w:t>
      </w:r>
      <w:r>
        <w:rPr/>
        <w:t>BP</w:t>
      </w:r>
      <w:r>
        <w:rPr>
          <w:spacing w:val="-3"/>
        </w:rPr>
        <w:t> 的能力诉求</w:t>
      </w:r>
    </w:p>
    <w:p>
      <w:pPr>
        <w:pStyle w:val="BodyText"/>
        <w:spacing w:before="145"/>
        <w:ind w:left="345"/>
      </w:pPr>
      <w:r>
        <w:rPr/>
        <w:t>-财务 BP 岗位评价</w:t>
      </w:r>
    </w:p>
    <w:p>
      <w:pPr>
        <w:pStyle w:val="BodyText"/>
        <w:spacing w:before="148"/>
        <w:ind w:left="345"/>
      </w:pPr>
      <w:r>
        <w:rPr/>
        <w:t>-财务 BP 的角色定位与实战困境</w:t>
      </w:r>
    </w:p>
    <w:p>
      <w:pPr>
        <w:pStyle w:val="BodyText"/>
        <w:spacing w:before="147"/>
        <w:ind w:left="345"/>
      </w:pPr>
      <w:r>
        <w:rPr/>
        <w:t>-财务 BP 胜任能力与测评</w:t>
      </w:r>
    </w:p>
    <w:p>
      <w:pPr>
        <w:pStyle w:val="Heading3"/>
        <w:numPr>
          <w:ilvl w:val="1"/>
          <w:numId w:val="1"/>
        </w:numPr>
        <w:tabs>
          <w:tab w:pos="699" w:val="left" w:leader="none"/>
        </w:tabs>
        <w:spacing w:line="240" w:lineRule="auto" w:before="145" w:after="0"/>
        <w:ind w:left="698" w:right="0" w:hanging="354"/>
        <w:jc w:val="left"/>
      </w:pPr>
      <w:r>
        <w:rPr>
          <w:spacing w:val="-2"/>
        </w:rPr>
        <w:t>基于财务 </w:t>
      </w:r>
      <w:r>
        <w:rPr/>
        <w:t>BP</w:t>
      </w:r>
      <w:r>
        <w:rPr>
          <w:spacing w:val="-3"/>
        </w:rPr>
        <w:t> 模式下的组织结构优化</w:t>
      </w:r>
    </w:p>
    <w:p>
      <w:pPr>
        <w:pStyle w:val="BodyText"/>
        <w:spacing w:before="145"/>
        <w:ind w:left="345"/>
      </w:pPr>
      <w:r>
        <w:rPr/>
        <w:t>-不同行业下财务 BP 岗嵌入业务的方式不同</w:t>
      </w:r>
    </w:p>
    <w:p>
      <w:pPr>
        <w:pStyle w:val="BodyText"/>
        <w:spacing w:before="145"/>
        <w:ind w:left="345"/>
      </w:pPr>
      <w:r>
        <w:rPr/>
        <w:t>-财务 BP 的架构关系:事业部型 vs 代表派驻型</w:t>
      </w:r>
    </w:p>
    <w:p>
      <w:pPr>
        <w:pStyle w:val="BodyText"/>
        <w:spacing w:before="147"/>
        <w:ind w:left="345"/>
      </w:pPr>
      <w:r>
        <w:rPr>
          <w:spacing w:val="4"/>
        </w:rPr>
        <w:t>-组织应当给予的财务</w:t>
      </w:r>
      <w:r>
        <w:rPr/>
        <w:t>BP</w:t>
      </w:r>
      <w:r>
        <w:rPr>
          <w:spacing w:val="-4"/>
        </w:rPr>
        <w:t> 的权利与资源</w:t>
      </w:r>
    </w:p>
    <w:p>
      <w:pPr>
        <w:pStyle w:val="BodyText"/>
        <w:spacing w:before="148"/>
        <w:ind w:left="345"/>
      </w:pPr>
      <w:r>
        <w:rPr>
          <w:spacing w:val="-4"/>
        </w:rPr>
        <w:t>-财务 </w:t>
      </w:r>
      <w:r>
        <w:rPr/>
        <w:t>BP</w:t>
      </w:r>
      <w:r>
        <w:rPr>
          <w:spacing w:val="-4"/>
        </w:rPr>
        <w:t> 模式在企业中的具体设计案例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tabs>
          <w:tab w:pos="1223" w:val="left" w:leader="none"/>
        </w:tabs>
      </w:pPr>
      <w:r>
        <w:rPr>
          <w:color w:val="D29F60"/>
        </w:rPr>
        <w:t>模</w:t>
      </w:r>
      <w:r>
        <w:rPr>
          <w:color w:val="D29F60"/>
          <w:spacing w:val="-3"/>
        </w:rPr>
        <w:t>块</w:t>
      </w:r>
      <w:r>
        <w:rPr>
          <w:color w:val="D29F60"/>
        </w:rPr>
        <w:t>二</w:t>
        <w:tab/>
        <w:t>构</w:t>
      </w:r>
      <w:r>
        <w:rPr>
          <w:color w:val="D29F60"/>
          <w:spacing w:val="-3"/>
        </w:rPr>
        <w:t>筑</w:t>
      </w:r>
      <w:r>
        <w:rPr>
          <w:color w:val="D29F60"/>
        </w:rPr>
        <w:t>财</w:t>
      </w:r>
      <w:r>
        <w:rPr>
          <w:color w:val="D29F60"/>
          <w:spacing w:val="55"/>
        </w:rPr>
        <w:t>务</w:t>
      </w:r>
      <w:r>
        <w:rPr>
          <w:color w:val="D29F60"/>
        </w:rPr>
        <w:t>BP</w:t>
      </w:r>
      <w:r>
        <w:rPr>
          <w:color w:val="D29F60"/>
          <w:spacing w:val="-14"/>
        </w:rPr>
        <w:t> </w:t>
      </w:r>
      <w:r>
        <w:rPr>
          <w:color w:val="D29F60"/>
        </w:rPr>
        <w:t>专</w:t>
      </w:r>
      <w:r>
        <w:rPr>
          <w:color w:val="D29F60"/>
          <w:spacing w:val="-3"/>
        </w:rPr>
        <w:t>业</w:t>
      </w:r>
      <w:r>
        <w:rPr>
          <w:color w:val="D29F60"/>
        </w:rPr>
        <w:t>力，</w:t>
      </w:r>
      <w:r>
        <w:rPr>
          <w:color w:val="D29F60"/>
          <w:spacing w:val="-3"/>
        </w:rPr>
        <w:t>为</w:t>
      </w:r>
      <w:r>
        <w:rPr>
          <w:color w:val="D29F60"/>
        </w:rPr>
        <w:t>业务</w:t>
      </w:r>
      <w:r>
        <w:rPr>
          <w:color w:val="D29F60"/>
          <w:spacing w:val="-3"/>
        </w:rPr>
        <w:t>提</w:t>
      </w:r>
      <w:r>
        <w:rPr>
          <w:color w:val="D29F60"/>
        </w:rPr>
        <w:t>供高</w:t>
      </w:r>
      <w:r>
        <w:rPr>
          <w:color w:val="D29F60"/>
          <w:spacing w:val="-3"/>
        </w:rPr>
        <w:t>质</w:t>
      </w:r>
      <w:r>
        <w:rPr>
          <w:color w:val="D29F60"/>
        </w:rPr>
        <w:t>量经</w:t>
      </w:r>
      <w:r>
        <w:rPr>
          <w:color w:val="D29F60"/>
          <w:spacing w:val="-3"/>
        </w:rPr>
        <w:t>营</w:t>
      </w:r>
      <w:r>
        <w:rPr>
          <w:color w:val="D29F60"/>
        </w:rPr>
        <w:t>建议</w:t>
      </w:r>
    </w:p>
    <w:p>
      <w:pPr>
        <w:pStyle w:val="BodyText"/>
        <w:spacing w:before="18"/>
        <w:rPr>
          <w:b/>
          <w:sz w:val="13"/>
        </w:rPr>
      </w:pPr>
    </w:p>
    <w:p>
      <w:pPr>
        <w:pStyle w:val="Heading3"/>
        <w:numPr>
          <w:ilvl w:val="1"/>
          <w:numId w:val="2"/>
        </w:numPr>
        <w:tabs>
          <w:tab w:pos="699" w:val="left" w:leader="none"/>
        </w:tabs>
        <w:spacing w:line="240" w:lineRule="auto" w:before="0" w:after="0"/>
        <w:ind w:left="698" w:right="0" w:hanging="354"/>
        <w:jc w:val="left"/>
      </w:pPr>
      <w:r>
        <w:rPr/>
        <w:t>突破财务思维，从整个价值链出发思考问题</w:t>
      </w:r>
    </w:p>
    <w:p>
      <w:pPr>
        <w:pStyle w:val="BodyText"/>
        <w:spacing w:before="147"/>
        <w:ind w:left="345"/>
      </w:pPr>
      <w:r>
        <w:rPr/>
        <w:t>-商业组织的目标——正确理解价值</w:t>
      </w:r>
    </w:p>
    <w:p>
      <w:pPr>
        <w:pStyle w:val="BodyText"/>
        <w:spacing w:before="145"/>
        <w:ind w:left="345"/>
      </w:pPr>
      <w:r>
        <w:rPr/>
        <w:t>-掌握商业价值的源泉和实现路径</w:t>
      </w:r>
    </w:p>
    <w:p>
      <w:pPr>
        <w:pStyle w:val="BodyText"/>
        <w:spacing w:before="147"/>
        <w:ind w:left="345"/>
      </w:pPr>
      <w:r>
        <w:rPr/>
        <w:t>-理解商业决策的依据和背后的驱动因子</w:t>
      </w:r>
    </w:p>
    <w:p>
      <w:pPr>
        <w:pStyle w:val="Heading3"/>
        <w:numPr>
          <w:ilvl w:val="1"/>
          <w:numId w:val="2"/>
        </w:numPr>
        <w:tabs>
          <w:tab w:pos="699" w:val="left" w:leader="none"/>
        </w:tabs>
        <w:spacing w:line="240" w:lineRule="auto" w:before="145" w:after="0"/>
        <w:ind w:left="698" w:right="0" w:hanging="354"/>
        <w:jc w:val="left"/>
      </w:pPr>
      <w:r>
        <w:rPr/>
        <w:t>构建问题导向的经营分析体系</w:t>
      </w:r>
    </w:p>
    <w:p>
      <w:pPr>
        <w:pStyle w:val="BodyText"/>
        <w:spacing w:before="148"/>
        <w:ind w:left="345"/>
      </w:pPr>
      <w:r>
        <w:rPr/>
        <w:t>-企业经营分析常见问题与痛点</w:t>
      </w:r>
    </w:p>
    <w:p>
      <w:pPr>
        <w:pStyle w:val="BodyText"/>
        <w:spacing w:before="145"/>
        <w:ind w:left="345"/>
      </w:pPr>
      <w:r>
        <w:rPr/>
        <w:t>-高质量经营分析的四大体系：决策体系，指标体系，报表体系和会议体系</w:t>
      </w:r>
    </w:p>
    <w:p>
      <w:pPr>
        <w:pStyle w:val="BodyText"/>
        <w:spacing w:before="145"/>
        <w:ind w:left="345"/>
      </w:pPr>
      <w:r>
        <w:rPr/>
        <w:t>-问题导向下经营分析的经典模型与应用</w:t>
      </w:r>
    </w:p>
    <w:p>
      <w:pPr>
        <w:spacing w:after="0"/>
        <w:sectPr>
          <w:pgSz w:w="11910" w:h="16160"/>
          <w:pgMar w:header="0" w:footer="0" w:top="880" w:bottom="280" w:left="480" w:right="0"/>
        </w:sectPr>
      </w:pPr>
    </w:p>
    <w:p>
      <w:pPr>
        <w:pStyle w:val="BodyText"/>
        <w:ind w:left="8296"/>
      </w:pPr>
      <w:r>
        <w:rPr/>
        <w:drawing>
          <wp:inline distT="0" distB="0" distL="0" distR="0">
            <wp:extent cx="1453988" cy="336613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988" cy="3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504825</wp:posOffset>
            </wp:positionH>
            <wp:positionV relativeFrom="paragraph">
              <wp:posOffset>155498</wp:posOffset>
            </wp:positionV>
            <wp:extent cx="277648" cy="266700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48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8pt;margin-top:11.168941pt;width:472.05pt;height:19.6pt;mso-position-horizontal-relative:page;mso-position-vertical-relative:paragraph;z-index:-251637760;mso-wrap-distance-left:0;mso-wrap-distance-right:0" coordorigin="1560,223" coordsize="9441,392">
            <v:shape style="position:absolute;left:10867;top:228;width:133;height:387" type="#_x0000_t75" stroked="false">
              <v:imagedata r:id="rId14" o:title=""/>
            </v:shape>
            <v:line style="position:absolute" from="1560,231" to="10980,231" stroked="true" strokeweight=".75pt" strokecolor="#d29f60">
              <v:stroke dashstyle="solid"/>
            </v:line>
            <v:shape style="position:absolute;left:1560;top:223;width:9441;height:392" type="#_x0000_t202" filled="false" stroked="false">
              <v:textbox inset="0,0,0,0">
                <w:txbxContent>
                  <w:p>
                    <w:pPr>
                      <w:tabs>
                        <w:tab w:pos="9419" w:val="left" w:leader="none"/>
                      </w:tabs>
                      <w:spacing w:line="391" w:lineRule="exact" w:before="0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E3E3E"/>
                        <w:sz w:val="24"/>
                        <w:u w:val="single" w:color="D29F60"/>
                      </w:rPr>
                      <w:t>课程内容</w:t>
                    </w:r>
                    <w:r>
                      <w:rPr>
                        <w:b/>
                        <w:color w:val="3E3E3E"/>
                        <w:spacing w:val="40"/>
                        <w:sz w:val="24"/>
                        <w:u w:val="single" w:color="D29F60"/>
                      </w:rPr>
                      <w:t> </w:t>
                    </w:r>
                    <w:r>
                      <w:rPr>
                        <w:color w:val="BDBDBD"/>
                        <w:sz w:val="24"/>
                        <w:u w:val="single" w:color="D29F60"/>
                      </w:rPr>
                      <w:t>Syllabus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  <w:numPr>
          <w:ilvl w:val="1"/>
          <w:numId w:val="2"/>
        </w:numPr>
        <w:tabs>
          <w:tab w:pos="677" w:val="left" w:leader="none"/>
        </w:tabs>
        <w:spacing w:line="344" w:lineRule="exact" w:before="0" w:after="0"/>
        <w:ind w:left="676" w:right="0" w:hanging="353"/>
        <w:jc w:val="left"/>
      </w:pPr>
      <w:r>
        <w:rPr/>
        <w:t>高效的经营分析会应该怎么开？</w:t>
      </w:r>
    </w:p>
    <w:p>
      <w:pPr>
        <w:pStyle w:val="BodyText"/>
        <w:spacing w:before="147"/>
        <w:ind w:left="324"/>
      </w:pPr>
      <w:r>
        <w:rPr/>
        <w:t>-澄清一个问题，杜绝在表象里打转</w:t>
      </w:r>
    </w:p>
    <w:p>
      <w:pPr>
        <w:pStyle w:val="BodyText"/>
        <w:spacing w:before="145"/>
        <w:ind w:left="324"/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4760976</wp:posOffset>
            </wp:positionH>
            <wp:positionV relativeFrom="paragraph">
              <wp:posOffset>254485</wp:posOffset>
            </wp:positionV>
            <wp:extent cx="2799968" cy="5635752"/>
            <wp:effectExtent l="0" t="0" r="0" b="0"/>
            <wp:wrapNone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968" cy="563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-确定一个场景，聚焦确定问题的边界</w:t>
      </w:r>
    </w:p>
    <w:p>
      <w:pPr>
        <w:pStyle w:val="BodyText"/>
        <w:spacing w:line="336" w:lineRule="auto" w:before="145"/>
        <w:ind w:left="324" w:right="4489"/>
      </w:pPr>
      <w:r>
        <w:rPr>
          <w:spacing w:val="-8"/>
          <w:w w:val="95"/>
        </w:rPr>
        <w:t>-找到一个关键原因，离真相更近：从分类开始，找到数据差异-&gt;解剖麻雀，   </w:t>
      </w:r>
      <w:r>
        <w:rPr>
          <w:spacing w:val="-8"/>
        </w:rPr>
        <w:t>发现业务端执行差异-&gt;运用鱼骨分析，综合归因-&gt;5why</w:t>
      </w:r>
      <w:r>
        <w:rPr>
          <w:spacing w:val="-3"/>
        </w:rPr>
        <w:t> 向内归因法</w:t>
      </w:r>
    </w:p>
    <w:p>
      <w:pPr>
        <w:pStyle w:val="BodyText"/>
        <w:spacing w:line="366" w:lineRule="exact"/>
        <w:ind w:left="324"/>
      </w:pPr>
      <w:r>
        <w:rPr/>
        <w:t>-定一个关键策略，撬动问题的解决：头脑风暴法+4W 法</w:t>
      </w:r>
    </w:p>
    <w:p>
      <w:pPr>
        <w:pStyle w:val="BodyText"/>
        <w:spacing w:before="147"/>
        <w:ind w:left="324"/>
      </w:pPr>
      <w:r>
        <w:rPr/>
        <w:t>-做一个完整的行动计划，实现策略意图</w:t>
      </w:r>
    </w:p>
    <w:p>
      <w:pPr>
        <w:pStyle w:val="BodyText"/>
        <w:spacing w:line="333" w:lineRule="auto" w:before="145"/>
        <w:ind w:left="324" w:right="4524"/>
      </w:pPr>
      <w:r>
        <w:rPr/>
        <w:pict>
          <v:group style="position:absolute;margin-left:39.849998pt;margin-top:56.399246pt;width:222.9pt;height:47.7pt;mso-position-horizontal-relative:page;mso-position-vertical-relative:paragraph;z-index:-251953152" coordorigin="797,1128" coordsize="4458,954">
            <v:shape style="position:absolute;left:797;top:1397;width:4458;height:684" coordorigin="797,1398" coordsize="4458,684" path="m5245,2082l807,2082,804,2081,801,2080,799,2078,797,2075,797,2072,797,1408,797,1405,799,1402,801,1400,804,1398,807,1398,5245,1398,5248,1398,5251,1400,5253,1402,5255,1405,5255,1408,817,1408,807,1418,817,1418,817,2062,807,2062,817,2072,5255,2072,5255,2075,5253,2078,5251,2080,5248,2081,5245,2082xm817,1418l807,1418,817,1408,817,1418xm5235,1418l817,1418,817,1408,5235,1408,5235,1418xm5235,2072l5235,1408,5245,1418,5255,1418,5255,2062,5245,2062,5235,2072xm5255,1418l5245,1418,5235,1408,5255,1408,5255,1418xm817,2072l807,2062,817,2062,817,2072xm5235,2072l817,2072,817,2062,5235,2062,5235,2072xm5255,2072l5235,2072,5245,2062,5255,2062,5255,2072xe" filled="true" fillcolor="#af7731" stroked="false">
              <v:path arrowok="t"/>
              <v:fill type="solid"/>
            </v:shape>
            <v:rect style="position:absolute;left:1022;top:1127;width:1649;height:452" filled="true" fillcolor="#ffffff" stroked="false">
              <v:fill type="solid"/>
            </v:rect>
            <v:shape style="position:absolute;left:797;top:1127;width:4458;height:954" type="#_x0000_t202" filled="false" stroked="false">
              <v:textbox inset="0,0,0,0">
                <w:txbxContent>
                  <w:p>
                    <w:pPr>
                      <w:spacing w:line="373" w:lineRule="exact" w:before="62"/>
                      <w:ind w:left="374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F7731"/>
                        <w:sz w:val="21"/>
                      </w:rPr>
                      <w:t>最佳实践案例</w:t>
                    </w:r>
                  </w:p>
                  <w:p>
                    <w:pPr>
                      <w:spacing w:line="318" w:lineRule="exact" w:before="0"/>
                      <w:ind w:left="1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AF7731"/>
                        <w:sz w:val="18"/>
                      </w:rPr>
                      <w:t>-500 强业务分析会最佳实践分享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-评估一个结果，有评估才有改进：现业务端执行差异-&gt;运用鱼骨分析，综   </w:t>
      </w:r>
      <w:r>
        <w:rPr/>
        <w:t>合归因-&gt;5why 向内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pgSz w:w="11910" w:h="16160"/>
          <w:pgMar w:header="0" w:footer="0" w:top="880" w:bottom="0" w:left="480" w:right="0"/>
        </w:sectPr>
      </w:pPr>
    </w:p>
    <w:p>
      <w:pPr>
        <w:pStyle w:val="Heading3"/>
        <w:numPr>
          <w:ilvl w:val="1"/>
          <w:numId w:val="2"/>
        </w:numPr>
        <w:tabs>
          <w:tab w:pos="677" w:val="left" w:leader="none"/>
        </w:tabs>
        <w:spacing w:line="240" w:lineRule="auto" w:before="47" w:after="0"/>
        <w:ind w:left="676" w:right="0" w:hanging="353"/>
        <w:jc w:val="left"/>
      </w:pPr>
      <w:r>
        <w:rPr/>
        <w:pict>
          <v:group style="position:absolute;margin-left:0pt;margin-top:627.591003pt;width:595.35pt;height:180.4pt;mso-position-horizontal-relative:page;mso-position-vertical-relative:page;z-index:-251956224" coordorigin="0,12552" coordsize="11907,3608">
            <v:rect style="position:absolute;left:0;top:15888;width:11907;height:272" filled="true" fillcolor="#d29f60" stroked="false">
              <v:fill type="solid"/>
            </v:rect>
            <v:shape style="position:absolute;left:5401;top:12551;width:6503;height:3605" type="#_x0000_t75" stroked="false">
              <v:imagedata r:id="rId7" o:title=""/>
            </v:shape>
            <v:rect style="position:absolute;left:7531;top:14582;width:4104;height:665" filled="true" fillcolor="#ffffff" stroked="false">
              <v:fill type="solid"/>
            </v:rect>
            <v:shape style="position:absolute;left:7521;top:14573;width:4124;height:684" coordorigin="7521,14573" coordsize="4124,684" path="m11635,15257l7531,15257,7528,15257,7525,15255,7523,15253,7521,15250,7521,15247,7521,14583,7521,14580,7523,14577,7525,14575,7528,14573,7531,14573,11635,14573,11638,14573,11641,14575,11643,14577,11645,14580,11645,14583,7541,14583,7531,14593,7541,14593,7541,15237,7531,15237,7541,15247,11645,15247,11645,15250,11643,15253,11641,15255,11638,15257,11635,15257xm7541,14593l7531,14593,7541,14583,7541,14593xm11625,14593l7541,14593,7541,14583,11625,14583,11625,14593xm11625,15247l11625,14583,11635,14593,11645,14593,11645,15237,11635,15237,11625,15247xm11645,14593l11635,14593,11625,14583,11645,14583,11645,14593xm7541,15247l7531,15237,7541,15237,7541,15247xm11625,15247l7541,15247,7541,15237,11625,15237,11625,15247xm11645,15247l11625,15247,11635,15237,11645,15237,11645,15247xe" filled="true" fillcolor="#af7731" stroked="false">
              <v:path arrowok="t"/>
              <v:fill type="solid"/>
            </v:shape>
            <v:rect style="position:absolute;left:7636;top:14289;width:1256;height:454" filled="true" fillcolor="#ffffff" stroked="false">
              <v:fill type="solid"/>
            </v:rect>
            <v:shape style="position:absolute;left:7531;top:14743;width:4104;height:504" type="#_x0000_t202" filled="true" fillcolor="#ffffff" stroked="false">
              <v:textbox inset="0,0,0,0">
                <w:txbxContent>
                  <w:p>
                    <w:pPr>
                      <w:spacing w:line="314" w:lineRule="exact" w:before="0"/>
                      <w:ind w:left="15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AF7731"/>
                        <w:sz w:val="18"/>
                      </w:rPr>
                      <w:t>-案例：财务 BP 如何与业务沟通业绩目标</w:t>
                    </w:r>
                  </w:p>
                </w:txbxContent>
              </v:textbox>
              <v:fill type="solid"/>
              <w10:wrap type="none"/>
            </v:shape>
            <v:shape style="position:absolute;left:7636;top:14289;width:1256;height:293" type="#_x0000_t202" filled="true" fillcolor="#ffffff" stroked="false">
              <v:textbox inset="0,0,0,0">
                <w:txbxContent>
                  <w:p>
                    <w:pPr>
                      <w:spacing w:line="228" w:lineRule="exact" w:before="64"/>
                      <w:ind w:left="148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F7731"/>
                        <w:sz w:val="21"/>
                      </w:rPr>
                      <w:t>案例演练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推进业务降本与利润管理的有效举措</w:t>
      </w:r>
    </w:p>
    <w:p>
      <w:pPr>
        <w:pStyle w:val="BodyText"/>
        <w:spacing w:before="145"/>
        <w:ind w:left="324"/>
      </w:pPr>
      <w:r>
        <w:rPr/>
        <w:t>-以利润增长为导向降本增效怎么做？</w:t>
      </w:r>
    </w:p>
    <w:p>
      <w:pPr>
        <w:pStyle w:val="BodyText"/>
        <w:spacing w:before="147"/>
        <w:ind w:left="324"/>
      </w:pPr>
      <w:r>
        <w:rPr/>
        <w:t>-剖析各业务单元降本增效瓶颈在哪里？</w:t>
      </w:r>
    </w:p>
    <w:p>
      <w:pPr>
        <w:pStyle w:val="BodyText"/>
        <w:spacing w:before="145"/>
        <w:ind w:left="324"/>
      </w:pPr>
      <w:r>
        <w:rPr/>
        <w:t>-如何让降本增效系统落地？</w:t>
      </w:r>
    </w:p>
    <w:p>
      <w:pPr>
        <w:pStyle w:val="BodyText"/>
        <w:spacing w:before="145"/>
        <w:ind w:left="324"/>
      </w:pPr>
      <w:r>
        <w:rPr/>
        <w:t>-为什么降本增效方案不能持续执行？</w:t>
      </w:r>
    </w:p>
    <w:p>
      <w:pPr>
        <w:pStyle w:val="Heading1"/>
        <w:tabs>
          <w:tab w:pos="1204" w:val="left" w:leader="none"/>
        </w:tabs>
        <w:spacing w:before="145"/>
        <w:ind w:left="324"/>
      </w:pPr>
      <w:r>
        <w:rPr>
          <w:color w:val="D29F60"/>
        </w:rPr>
        <w:t>模</w:t>
      </w:r>
      <w:r>
        <w:rPr>
          <w:color w:val="D29F60"/>
          <w:spacing w:val="-3"/>
        </w:rPr>
        <w:t>块</w:t>
      </w:r>
      <w:r>
        <w:rPr>
          <w:color w:val="D29F60"/>
        </w:rPr>
        <w:t>三</w:t>
        <w:tab/>
        <w:t>快</w:t>
      </w:r>
      <w:r>
        <w:rPr>
          <w:color w:val="D29F60"/>
          <w:spacing w:val="-3"/>
        </w:rPr>
        <w:t>速</w:t>
      </w:r>
      <w:r>
        <w:rPr>
          <w:color w:val="D29F60"/>
        </w:rPr>
        <w:t>熟悉</w:t>
      </w:r>
      <w:r>
        <w:rPr>
          <w:color w:val="D29F60"/>
          <w:spacing w:val="-3"/>
        </w:rPr>
        <w:t>业</w:t>
      </w:r>
      <w:r>
        <w:rPr>
          <w:color w:val="D29F60"/>
        </w:rPr>
        <w:t>务，</w:t>
      </w:r>
      <w:r>
        <w:rPr>
          <w:color w:val="D29F60"/>
          <w:spacing w:val="-3"/>
        </w:rPr>
        <w:t>融</w:t>
      </w:r>
      <w:r>
        <w:rPr>
          <w:color w:val="D29F60"/>
        </w:rPr>
        <w:t>入业</w:t>
      </w:r>
      <w:r>
        <w:rPr>
          <w:color w:val="D29F60"/>
          <w:spacing w:val="-3"/>
        </w:rPr>
        <w:t>务</w:t>
      </w:r>
      <w:r>
        <w:rPr>
          <w:color w:val="D29F60"/>
        </w:rPr>
        <w:t>提</w:t>
      </w:r>
      <w:r>
        <w:rPr>
          <w:color w:val="D29F60"/>
          <w:spacing w:val="-3"/>
        </w:rPr>
        <w:t>升</w:t>
      </w:r>
      <w:r>
        <w:rPr>
          <w:color w:val="D29F60"/>
        </w:rPr>
        <w:t>业务</w:t>
      </w:r>
      <w:r>
        <w:rPr>
          <w:color w:val="D29F60"/>
          <w:spacing w:val="-3"/>
        </w:rPr>
        <w:t>的</w:t>
      </w:r>
      <w:r>
        <w:rPr>
          <w:color w:val="D29F60"/>
        </w:rPr>
        <w:t>敏感性</w:t>
      </w:r>
    </w:p>
    <w:p>
      <w:pPr>
        <w:pStyle w:val="Heading3"/>
        <w:numPr>
          <w:ilvl w:val="1"/>
          <w:numId w:val="3"/>
        </w:numPr>
        <w:tabs>
          <w:tab w:pos="677" w:val="left" w:leader="none"/>
        </w:tabs>
        <w:spacing w:line="240" w:lineRule="auto" w:before="134" w:after="0"/>
        <w:ind w:left="676" w:right="0" w:hanging="353"/>
        <w:jc w:val="left"/>
      </w:pPr>
      <w:r>
        <w:rPr/>
        <w:t>通过三大抓手快速盘点、深度切入，提升业务敏锐度</w:t>
      </w:r>
    </w:p>
    <w:p>
      <w:pPr>
        <w:pStyle w:val="BodyText"/>
        <w:spacing w:before="145"/>
        <w:ind w:left="324"/>
      </w:pPr>
      <w:r>
        <w:rPr/>
        <w:t>-深入市场：市场现状盘点与分析快速了解业务的最佳切入点</w:t>
      </w:r>
    </w:p>
    <w:p>
      <w:pPr>
        <w:pStyle w:val="BodyText"/>
        <w:spacing w:before="148"/>
        <w:ind w:left="324"/>
      </w:pPr>
      <w:r>
        <w:rPr>
          <w:w w:val="95"/>
        </w:rPr>
        <w:t>-深入流程：从商业画布到关键业务流程图，熟悉业务运作模式</w:t>
      </w:r>
    </w:p>
    <w:p>
      <w:pPr>
        <w:pStyle w:val="BodyText"/>
        <w:spacing w:before="145"/>
        <w:ind w:left="324"/>
      </w:pPr>
      <w:r>
        <w:rPr>
          <w:w w:val="95"/>
        </w:rPr>
        <w:t>-深度沟通：学会巧妙提问打开话匣子，了解更多业务隐性知识</w:t>
      </w:r>
    </w:p>
    <w:p>
      <w:pPr>
        <w:pStyle w:val="Heading3"/>
        <w:numPr>
          <w:ilvl w:val="1"/>
          <w:numId w:val="3"/>
        </w:numPr>
        <w:tabs>
          <w:tab w:pos="677" w:val="left" w:leader="none"/>
        </w:tabs>
        <w:spacing w:line="240" w:lineRule="auto" w:before="147" w:after="0"/>
        <w:ind w:left="676" w:right="0" w:hanging="353"/>
        <w:jc w:val="left"/>
      </w:pPr>
      <w:r>
        <w:rPr/>
        <w:t>深度联结：有效管理业务关系构筑信任深度洞悉</w:t>
      </w:r>
    </w:p>
    <w:p>
      <w:pPr>
        <w:pStyle w:val="BodyText"/>
        <w:spacing w:before="145"/>
        <w:ind w:left="324"/>
      </w:pPr>
      <w:r>
        <w:rPr>
          <w:spacing w:val="13"/>
        </w:rPr>
        <w:t>-财务</w:t>
      </w:r>
      <w:r>
        <w:rPr/>
        <w:t>BP</w:t>
      </w:r>
      <w:r>
        <w:rPr>
          <w:spacing w:val="-13"/>
        </w:rPr>
        <w:t> 破冰思考：业务为什么不信任财务？如何应对业务的强势与挑战？</w:t>
      </w:r>
    </w:p>
    <w:p>
      <w:pPr>
        <w:pStyle w:val="BodyText"/>
        <w:spacing w:before="145"/>
        <w:ind w:left="324"/>
      </w:pPr>
      <w:r>
        <w:rPr/>
        <w:t>-“内部顾客”关系管理与信任的构筑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4"/>
        <w:rPr>
          <w:sz w:val="18"/>
        </w:rPr>
      </w:pPr>
    </w:p>
    <w:p>
      <w:pPr>
        <w:pStyle w:val="Heading3"/>
        <w:numPr>
          <w:ilvl w:val="1"/>
          <w:numId w:val="3"/>
        </w:numPr>
        <w:tabs>
          <w:tab w:pos="628" w:val="left" w:leader="none"/>
        </w:tabs>
        <w:spacing w:line="333" w:lineRule="auto" w:before="0" w:after="0"/>
        <w:ind w:left="274" w:right="320" w:firstLine="0"/>
        <w:jc w:val="left"/>
      </w:pPr>
      <w:r>
        <w:rPr/>
        <w:t>权衡利弊：有效处理服务与监管、业务与财务的矛盾</w:t>
      </w:r>
    </w:p>
    <w:p>
      <w:pPr>
        <w:pStyle w:val="BodyText"/>
        <w:spacing w:line="333" w:lineRule="auto" w:before="5"/>
        <w:ind w:left="274" w:right="272"/>
      </w:pPr>
      <w:r>
        <w:rPr>
          <w:spacing w:val="-8"/>
        </w:rPr>
        <w:t>-成为桥梁，运用 </w:t>
      </w:r>
      <w:r>
        <w:rPr/>
        <w:t>Grow</w:t>
      </w:r>
      <w:r>
        <w:rPr>
          <w:spacing w:val="-9"/>
        </w:rPr>
        <w:t> 模型开展高效沟通、说服与谈判，向业务讲管控，向财务讲经营</w:t>
      </w:r>
    </w:p>
    <w:p>
      <w:pPr>
        <w:spacing w:after="0" w:line="333" w:lineRule="auto"/>
        <w:sectPr>
          <w:type w:val="continuous"/>
          <w:pgSz w:w="11910" w:h="16160"/>
          <w:pgMar w:top="1540" w:bottom="280" w:left="480" w:right="0"/>
          <w:cols w:num="2" w:equalWidth="0">
            <w:col w:w="6838" w:space="40"/>
            <w:col w:w="4552"/>
          </w:cols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0pt;margin-top:0pt;width:595.35pt;height:808pt;mso-position-horizontal-relative:page;mso-position-vertical-relative:page;z-index:-251952128" coordorigin="0,0" coordsize="11907,16160">
            <v:rect style="position:absolute;left:0;top:0;width:11907;height:795" filled="true" fillcolor="#d29f60" stroked="false">
              <v:fill opacity="13107f" type="solid"/>
            </v:rect>
            <v:shape style="position:absolute;left:794;top:415;width:2628;height:272" coordorigin="794,415" coordsize="2628,272" path="m3422,550l3269,415,794,415,794,684,3269,684,3269,686,3422,550e" filled="true" fillcolor="#d29f60" stroked="false">
              <v:path arrowok="t"/>
              <v:fill type="solid"/>
            </v:shape>
            <v:shape style="position:absolute;left:789;top:400;width:269;height:286" type="#_x0000_t75" stroked="false">
              <v:imagedata r:id="rId5" o:title=""/>
            </v:shape>
            <v:shape style="position:absolute;left:8776;top:891;width:2242;height:519" type="#_x0000_t75" stroked="false">
              <v:imagedata r:id="rId6" o:title=""/>
            </v:shape>
            <v:rect style="position:absolute;left:0;top:15888;width:11907;height:272" filled="true" fillcolor="#d29f60" stroked="false">
              <v:fill type="solid"/>
            </v:rect>
            <v:shape style="position:absolute;left:5401;top:12551;width:6503;height:3605" type="#_x0000_t75" stroked="false">
              <v:imagedata r:id="rId7" o:title=""/>
            </v:shape>
            <v:shape style="position:absolute;left:0;top:0;width:11904;height:16128" type="#_x0000_t75" stroked="false">
              <v:imagedata r:id="rId22" o:title=""/>
            </v:shape>
            <w10:wrap type="none"/>
          </v:group>
        </w:pict>
      </w:r>
    </w:p>
    <w:sectPr>
      <w:headerReference w:type="default" r:id="rId21"/>
      <w:pgSz w:w="11910" w:h="16160"/>
      <w:pgMar w:header="0" w:footer="0" w:top="1540" w:bottom="280" w:left="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595.35pt;height:39.75pt;mso-position-horizontal-relative:page;mso-position-vertical-relative:page;z-index:-251979776" coordorigin="0,0" coordsize="11907,795">
          <v:rect style="position:absolute;left:0;top:0;width:11907;height:795" filled="true" fillcolor="#d29f60" stroked="false">
            <v:fill opacity="13107f" type="solid"/>
          </v:rect>
          <v:shape style="position:absolute;left:794;top:415;width:2628;height:272" coordorigin="794,415" coordsize="2628,272" path="m3422,550l3269,415,794,415,794,684,3269,684,3269,686,3422,550e" filled="true" fillcolor="#d29f60" stroked="false">
            <v:path arrowok="t"/>
            <v:fill type="solid"/>
          </v:shape>
          <v:shape style="position:absolute;left:789;top:400;width:269;height:286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720001pt;margin-top:21.812315pt;width:45.7pt;height:10.6pt;mso-position-horizontal-relative:page;mso-position-vertical-relative:page;z-index:-25197875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FFFFFF"/>
                    <w:sz w:val="13"/>
                  </w:rPr>
                  <w:t>财务BP 特训营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676" w:hanging="353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676" w:hanging="353"/>
        <w:jc w:val="left"/>
      </w:pPr>
      <w:rPr>
        <w:rFonts w:hint="default" w:ascii="微软雅黑" w:hAnsi="微软雅黑" w:eastAsia="微软雅黑" w:cs="微软雅黑"/>
        <w:b/>
        <w:bCs/>
        <w:spacing w:val="-1"/>
        <w:w w:val="99"/>
        <w:sz w:val="20"/>
        <w:szCs w:val="2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11" w:hanging="35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527" w:hanging="35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142" w:hanging="35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758" w:hanging="35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374" w:hanging="35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990" w:hanging="35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605" w:hanging="353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98" w:hanging="353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698" w:hanging="353"/>
        <w:jc w:val="left"/>
      </w:pPr>
      <w:rPr>
        <w:rFonts w:hint="default" w:ascii="微软雅黑" w:hAnsi="微软雅黑" w:eastAsia="微软雅黑" w:cs="微软雅黑"/>
        <w:b/>
        <w:bCs/>
        <w:spacing w:val="-1"/>
        <w:w w:val="99"/>
        <w:sz w:val="20"/>
        <w:szCs w:val="2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45" w:hanging="35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918" w:hanging="35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90" w:hanging="35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063" w:hanging="35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136" w:hanging="35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208" w:hanging="35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281" w:hanging="353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98" w:hanging="353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698" w:hanging="353"/>
        <w:jc w:val="left"/>
      </w:pPr>
      <w:rPr>
        <w:rFonts w:hint="default" w:ascii="微软雅黑" w:hAnsi="微软雅黑" w:eastAsia="微软雅黑" w:cs="微软雅黑"/>
        <w:b/>
        <w:bCs/>
        <w:spacing w:val="-1"/>
        <w:w w:val="99"/>
        <w:sz w:val="20"/>
        <w:szCs w:val="2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45" w:hanging="35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918" w:hanging="35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90" w:hanging="35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063" w:hanging="35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136" w:hanging="35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208" w:hanging="35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281" w:hanging="353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0"/>
      <w:szCs w:val="20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345"/>
      <w:outlineLvl w:val="1"/>
    </w:pPr>
    <w:rPr>
      <w:rFonts w:ascii="微软雅黑" w:hAnsi="微软雅黑" w:eastAsia="微软雅黑" w:cs="微软雅黑"/>
      <w:b/>
      <w:bCs/>
      <w:sz w:val="22"/>
      <w:szCs w:val="22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916"/>
      <w:outlineLvl w:val="2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styleId="Heading3" w:type="paragraph">
    <w:name w:val="Heading 3"/>
    <w:basedOn w:val="Normal"/>
    <w:uiPriority w:val="1"/>
    <w:qFormat/>
    <w:pPr>
      <w:ind w:left="698" w:hanging="354"/>
      <w:outlineLvl w:val="3"/>
    </w:pPr>
    <w:rPr>
      <w:rFonts w:ascii="微软雅黑" w:hAnsi="微软雅黑" w:eastAsia="微软雅黑" w:cs="微软雅黑"/>
      <w:b/>
      <w:bCs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698" w:hanging="354"/>
    </w:pPr>
    <w:rPr>
      <w:rFonts w:ascii="微软雅黑" w:hAnsi="微软雅黑" w:eastAsia="微软雅黑" w:cs="微软雅黑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eader" Target="header1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20" Type="http://schemas.openxmlformats.org/officeDocument/2006/relationships/image" Target="media/image15.jpeg"/><Relationship Id="rId21" Type="http://schemas.openxmlformats.org/officeDocument/2006/relationships/header" Target="header2.xml"/><Relationship Id="rId22" Type="http://schemas.openxmlformats.org/officeDocument/2006/relationships/image" Target="media/image16.jpeg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dcterms:created xsi:type="dcterms:W3CDTF">2021-05-14T02:41:20Z</dcterms:created>
  <dcterms:modified xsi:type="dcterms:W3CDTF">2021-05-14T02:41:20Z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2021-05-14T00:00:00Z</vt:filetime>
  </property>
</Properties>
</file>