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郑大房地产实战运营总裁班</w:t>
      </w:r>
      <w:r>
        <w:rPr>
          <w:b/>
          <w:bCs/>
          <w:color w:val="FF0000"/>
          <w:sz w:val="44"/>
          <w:szCs w:val="44"/>
        </w:rPr>
        <w:t xml:space="preserve"> </w:t>
      </w:r>
    </w:p>
    <w:p>
      <w:pPr>
        <w:jc w:val="center"/>
        <w:rPr>
          <w:b/>
          <w:bCs/>
          <w:color w:val="FF0000"/>
          <w:sz w:val="44"/>
          <w:szCs w:val="44"/>
        </w:rPr>
      </w:pPr>
    </w:p>
    <w:p>
      <w:pPr>
        <w:ind w:firstLine="600" w:firstLineChars="200"/>
        <w:rPr>
          <w:b/>
          <w:bCs/>
          <w:color w:val="008080"/>
          <w:sz w:val="30"/>
          <w:szCs w:val="30"/>
        </w:rPr>
      </w:pPr>
      <w:r>
        <w:rPr>
          <w:rFonts w:hint="eastAsia"/>
          <w:b/>
          <w:bCs/>
          <w:color w:val="008080"/>
          <w:sz w:val="30"/>
          <w:szCs w:val="30"/>
        </w:rPr>
        <w:t>【</w:t>
      </w:r>
      <w:r>
        <w:rPr>
          <w:rFonts w:hint="eastAsia"/>
          <w:b/>
          <w:bCs/>
          <w:color w:val="FF0000"/>
          <w:sz w:val="30"/>
          <w:szCs w:val="30"/>
        </w:rPr>
        <w:t>项目简介</w:t>
      </w:r>
      <w:r>
        <w:rPr>
          <w:rFonts w:hint="eastAsia"/>
          <w:b/>
          <w:bCs/>
          <w:color w:val="008080"/>
          <w:sz w:val="30"/>
          <w:szCs w:val="30"/>
        </w:rPr>
        <w:t>】</w:t>
      </w:r>
    </w:p>
    <w:p>
      <w:pPr>
        <w:ind w:left="420" w:leftChars="20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房地产</w:t>
      </w:r>
      <w:r>
        <w:rPr>
          <w:sz w:val="24"/>
          <w:szCs w:val="24"/>
        </w:rPr>
        <w:t>是我国社会主义市场体系中的一个重要组成部分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房地产业作为国民经济新的增长点，为中国经济的快速增长做出了贡献</w:t>
      </w:r>
      <w:r>
        <w:rPr>
          <w:rFonts w:hint="eastAsia"/>
          <w:sz w:val="24"/>
          <w:szCs w:val="24"/>
        </w:rPr>
        <w:t>。</w:t>
      </w:r>
    </w:p>
    <w:p>
      <w:pPr>
        <w:spacing w:line="276" w:lineRule="auto"/>
        <w:ind w:left="42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十九大后，房住不炒、加快推进新型城镇化建设、居民居住条件的改善、区域经济协同发展等都已纳入到国家战略层面。</w:t>
      </w:r>
    </w:p>
    <w:p>
      <w:pPr>
        <w:spacing w:line="276" w:lineRule="auto"/>
        <w:ind w:left="420" w:firstLine="480" w:firstLineChars="200"/>
        <w:rPr>
          <w:sz w:val="24"/>
          <w:szCs w:val="24"/>
        </w:rPr>
      </w:pPr>
      <w:r>
        <w:rPr>
          <w:sz w:val="24"/>
          <w:szCs w:val="24"/>
        </w:rPr>
        <w:t>如何看待中国宏观经济</w:t>
      </w:r>
      <w:r>
        <w:rPr>
          <w:rFonts w:hint="eastAsia"/>
          <w:sz w:val="24"/>
          <w:szCs w:val="24"/>
        </w:rPr>
        <w:t>；</w:t>
      </w:r>
    </w:p>
    <w:p>
      <w:pPr>
        <w:spacing w:line="276" w:lineRule="auto"/>
        <w:ind w:left="420" w:firstLine="480" w:firstLineChars="200"/>
        <w:rPr>
          <w:sz w:val="24"/>
          <w:szCs w:val="24"/>
        </w:rPr>
      </w:pPr>
      <w:r>
        <w:rPr>
          <w:sz w:val="24"/>
          <w:szCs w:val="24"/>
        </w:rPr>
        <w:t>如何预判中国房地产行业未来的发展</w:t>
      </w:r>
      <w:r>
        <w:rPr>
          <w:rFonts w:hint="eastAsia"/>
          <w:sz w:val="24"/>
          <w:szCs w:val="24"/>
        </w:rPr>
        <w:t>；</w:t>
      </w:r>
    </w:p>
    <w:p>
      <w:pPr>
        <w:spacing w:line="276" w:lineRule="auto"/>
        <w:ind w:left="420" w:firstLine="480" w:firstLineChars="200"/>
        <w:rPr>
          <w:sz w:val="24"/>
          <w:szCs w:val="24"/>
        </w:rPr>
      </w:pPr>
      <w:r>
        <w:rPr>
          <w:sz w:val="24"/>
          <w:szCs w:val="24"/>
        </w:rPr>
        <w:t>如何理解国家宏观经济政策</w:t>
      </w:r>
      <w:r>
        <w:rPr>
          <w:rFonts w:hint="eastAsia"/>
          <w:sz w:val="24"/>
          <w:szCs w:val="24"/>
        </w:rPr>
        <w:t>；</w:t>
      </w:r>
    </w:p>
    <w:p>
      <w:pPr>
        <w:spacing w:line="276" w:lineRule="auto"/>
        <w:ind w:left="420" w:firstLine="480" w:firstLineChars="200"/>
        <w:rPr>
          <w:sz w:val="24"/>
          <w:szCs w:val="24"/>
        </w:rPr>
      </w:pPr>
      <w:r>
        <w:rPr>
          <w:sz w:val="24"/>
          <w:szCs w:val="24"/>
        </w:rPr>
        <w:t>如何实现房企的自我救赎与磐涅</w:t>
      </w:r>
      <w:r>
        <w:rPr>
          <w:rFonts w:hint="eastAsia"/>
          <w:sz w:val="24"/>
          <w:szCs w:val="24"/>
        </w:rPr>
        <w:t>；</w:t>
      </w:r>
    </w:p>
    <w:p>
      <w:pPr>
        <w:spacing w:line="276" w:lineRule="auto"/>
        <w:ind w:left="42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地方性房地产企业的出路在哪里；</w:t>
      </w:r>
    </w:p>
    <w:p>
      <w:pPr>
        <w:spacing w:line="276" w:lineRule="auto"/>
        <w:ind w:left="420" w:firstLine="480" w:firstLineChars="200"/>
        <w:rPr>
          <w:sz w:val="24"/>
          <w:szCs w:val="24"/>
        </w:rPr>
      </w:pPr>
      <w:r>
        <w:rPr>
          <w:sz w:val="24"/>
          <w:szCs w:val="24"/>
        </w:rPr>
        <w:t>所有的问题都有待深度解读</w:t>
      </w:r>
      <w:r>
        <w:rPr>
          <w:rFonts w:hint="eastAsia"/>
          <w:sz w:val="24"/>
          <w:szCs w:val="24"/>
        </w:rPr>
        <w:t>。</w:t>
      </w:r>
    </w:p>
    <w:p>
      <w:pPr>
        <w:spacing w:line="276" w:lineRule="auto"/>
        <w:ind w:left="420" w:firstLine="480" w:firstLineChars="200"/>
        <w:rPr>
          <w:sz w:val="24"/>
          <w:szCs w:val="24"/>
        </w:rPr>
      </w:pPr>
      <w:r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项目将</w:t>
      </w:r>
      <w:r>
        <w:rPr>
          <w:sz w:val="24"/>
          <w:szCs w:val="24"/>
        </w:rPr>
        <w:t>从</w:t>
      </w:r>
      <w:r>
        <w:rPr>
          <w:rFonts w:hint="eastAsia"/>
          <w:sz w:val="24"/>
          <w:szCs w:val="24"/>
        </w:rPr>
        <w:t>宏观经济、</w:t>
      </w:r>
      <w:r>
        <w:rPr>
          <w:sz w:val="24"/>
          <w:szCs w:val="24"/>
        </w:rPr>
        <w:t>金融、</w:t>
      </w:r>
      <w:r>
        <w:rPr>
          <w:rFonts w:hint="eastAsia"/>
          <w:sz w:val="24"/>
          <w:szCs w:val="24"/>
        </w:rPr>
        <w:t>政策调控、</w:t>
      </w:r>
      <w:r>
        <w:rPr>
          <w:sz w:val="24"/>
          <w:szCs w:val="24"/>
        </w:rPr>
        <w:t>土地、税收、投资等领域全面分析国家宏观经济发展趋势，对房地产政策走势和市场趋势做出预判，研判房企投资、拿地、建设、运营的重点和策略，梳理并预警房地产投资项目的政策风险和市场</w:t>
      </w:r>
      <w:r>
        <w:rPr>
          <w:rFonts w:hint="eastAsia"/>
          <w:sz w:val="24"/>
          <w:szCs w:val="24"/>
        </w:rPr>
        <w:t>机会</w:t>
      </w:r>
      <w:r>
        <w:rPr>
          <w:sz w:val="24"/>
          <w:szCs w:val="24"/>
        </w:rPr>
        <w:t>。</w:t>
      </w:r>
    </w:p>
    <w:p>
      <w:pPr>
        <w:ind w:firstLine="600" w:firstLineChars="200"/>
        <w:rPr>
          <w:b/>
          <w:bCs/>
          <w:color w:val="008080"/>
          <w:sz w:val="30"/>
          <w:szCs w:val="30"/>
        </w:rPr>
      </w:pPr>
      <w:r>
        <w:rPr>
          <w:rFonts w:hint="eastAsia"/>
          <w:b/>
          <w:bCs/>
          <w:color w:val="008080"/>
          <w:sz w:val="30"/>
          <w:szCs w:val="30"/>
        </w:rPr>
        <w:t>【</w:t>
      </w:r>
      <w:r>
        <w:rPr>
          <w:rFonts w:hint="eastAsia"/>
          <w:b/>
          <w:bCs/>
          <w:color w:val="FF0000"/>
          <w:sz w:val="30"/>
          <w:szCs w:val="30"/>
        </w:rPr>
        <w:t>项目定位</w:t>
      </w:r>
      <w:r>
        <w:rPr>
          <w:rFonts w:hint="eastAsia"/>
          <w:b/>
          <w:bCs/>
          <w:color w:val="008080"/>
          <w:sz w:val="30"/>
          <w:szCs w:val="30"/>
        </w:rPr>
        <w:t>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探究地方性房地产企业未来的生存发展之路</w:t>
      </w:r>
    </w:p>
    <w:p>
      <w:pPr>
        <w:pStyle w:val="4"/>
        <w:spacing w:before="0" w:beforeAutospacing="0" w:after="0" w:afterAutospacing="0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完善房地产及房地产相关行业高层管理人员的知识体系</w:t>
      </w:r>
    </w:p>
    <w:p>
      <w:pPr>
        <w:pStyle w:val="4"/>
        <w:spacing w:before="0" w:beforeAutospacing="0" w:after="0" w:afterAutospacing="0"/>
        <w:rPr>
          <w:rFonts w:asciiTheme="minorHAnsi" w:hAnsiTheme="minorHAnsi" w:eastAsiaTheme="minorEastAsia" w:cstheme="minorBidi"/>
          <w:kern w:val="2"/>
        </w:rPr>
      </w:pPr>
      <w:r>
        <w:rPr>
          <w:rFonts w:hint="eastAsia" w:asciiTheme="minorHAnsi" w:hAnsiTheme="minorHAnsi" w:eastAsiaTheme="minorEastAsia" w:cstheme="minorBidi"/>
          <w:kern w:val="2"/>
        </w:rPr>
        <w:t>打造房地产相关行业融学习交流、自我提升、资源互补平台</w:t>
      </w:r>
    </w:p>
    <w:p>
      <w:pPr>
        <w:rPr>
          <w:b/>
          <w:bCs/>
          <w:color w:val="008080"/>
          <w:sz w:val="30"/>
          <w:szCs w:val="30"/>
        </w:rPr>
      </w:pPr>
      <w:r>
        <w:rPr>
          <w:rFonts w:hint="eastAsia"/>
          <w:b/>
          <w:bCs/>
          <w:color w:val="008080"/>
          <w:sz w:val="30"/>
          <w:szCs w:val="30"/>
        </w:rPr>
        <w:t>【</w:t>
      </w:r>
      <w:r>
        <w:rPr>
          <w:rFonts w:hint="eastAsia"/>
          <w:b/>
          <w:bCs/>
          <w:color w:val="FF0000"/>
          <w:sz w:val="30"/>
          <w:szCs w:val="30"/>
        </w:rPr>
        <w:t>课程收获</w:t>
      </w:r>
      <w:r>
        <w:rPr>
          <w:rFonts w:hint="eastAsia"/>
          <w:b/>
          <w:bCs/>
          <w:color w:val="008080"/>
          <w:sz w:val="30"/>
          <w:szCs w:val="30"/>
        </w:rPr>
        <w:t>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把脉行业未来发展趋势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洞悉国家宏观调控政策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提升自身企业经营格局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完善企业管理知识体系</w:t>
      </w:r>
    </w:p>
    <w:p>
      <w:pPr>
        <w:ind w:firstLine="600" w:firstLineChars="200"/>
        <w:rPr>
          <w:b/>
          <w:bCs/>
          <w:color w:val="008080"/>
          <w:sz w:val="30"/>
          <w:szCs w:val="30"/>
        </w:rPr>
      </w:pPr>
      <w:r>
        <w:rPr>
          <w:rFonts w:hint="eastAsia"/>
          <w:b/>
          <w:bCs/>
          <w:color w:val="008080"/>
          <w:sz w:val="30"/>
          <w:szCs w:val="30"/>
        </w:rPr>
        <w:t>【</w:t>
      </w:r>
      <w:r>
        <w:rPr>
          <w:rFonts w:hint="eastAsia"/>
          <w:b/>
          <w:bCs/>
          <w:color w:val="FF0000"/>
          <w:sz w:val="30"/>
          <w:szCs w:val="30"/>
        </w:rPr>
        <w:t>课程设置</w:t>
      </w:r>
      <w:r>
        <w:rPr>
          <w:rFonts w:hint="eastAsia"/>
          <w:b/>
          <w:bCs/>
          <w:color w:val="008080"/>
          <w:sz w:val="30"/>
          <w:szCs w:val="30"/>
        </w:rPr>
        <w:t>】</w:t>
      </w:r>
    </w:p>
    <w:tbl>
      <w:tblPr>
        <w:tblStyle w:val="6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6"/>
        <w:gridCol w:w="5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2"/>
          </w:tcPr>
          <w:p>
            <w:pPr>
              <w:jc w:val="center"/>
              <w:rPr>
                <w:b/>
                <w:bCs/>
                <w:color w:val="00808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8080"/>
                <w:sz w:val="30"/>
                <w:szCs w:val="30"/>
              </w:rPr>
              <w:t>第一课堂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6" w:type="dxa"/>
          </w:tcPr>
          <w:p>
            <w:pPr>
              <w:rPr>
                <w:b/>
                <w:bCs/>
                <w:color w:val="00808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8080"/>
                <w:sz w:val="24"/>
                <w:szCs w:val="24"/>
              </w:rPr>
              <w:t>第一模块：宏观经济与房地产行业趋势分析</w:t>
            </w:r>
          </w:p>
        </w:tc>
        <w:tc>
          <w:tcPr>
            <w:tcW w:w="5203" w:type="dxa"/>
          </w:tcPr>
          <w:p>
            <w:pPr>
              <w:rPr>
                <w:b/>
                <w:bCs/>
                <w:color w:val="00808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8080"/>
                <w:sz w:val="28"/>
                <w:szCs w:val="28"/>
              </w:rPr>
              <w:t>第二模块：</w:t>
            </w:r>
            <w:r>
              <w:rPr>
                <w:rFonts w:hint="eastAsia"/>
                <w:b/>
                <w:bCs/>
                <w:color w:val="008080"/>
                <w:sz w:val="24"/>
                <w:szCs w:val="24"/>
              </w:rPr>
              <w:t>房地产金融与资本运作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146" w:type="dxa"/>
          </w:tcPr>
          <w:p>
            <w:pPr>
              <w:jc w:val="center"/>
              <w:rPr>
                <w:b/>
                <w:bCs/>
                <w:color w:val="0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宏观经济与房地产的内在关系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房地产投资决策分析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146" w:type="dxa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商业地产现状及趋势分析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资金规划与资本结构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146" w:type="dxa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养老地产的商业模式及创新设计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房地产资本运作与资产证券化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46" w:type="dxa"/>
          </w:tcPr>
          <w:p>
            <w:pPr>
              <w:jc w:val="center"/>
              <w:rPr>
                <w:rFonts w:ascii="微软雅黑" w:hAnsi="微软雅黑" w:eastAsia="微软雅黑"/>
                <w:color w:val="333333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绿色装配式建筑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政府与社会资本合作（ppp）模式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工业地产的现在及运营模式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房地产轻资产运营模式与创新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文旅综合体前景机会及案例解读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房地产企业并购重组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146" w:type="dxa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关键词：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新常态、供给侧改革、新人居环境</w:t>
            </w:r>
          </w:p>
        </w:tc>
        <w:tc>
          <w:tcPr>
            <w:tcW w:w="5203" w:type="dxa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关键词：p</w:t>
            </w:r>
            <w:r>
              <w:rPr>
                <w:b/>
                <w:bCs/>
                <w:color w:val="FF0000"/>
                <w:sz w:val="28"/>
                <w:szCs w:val="28"/>
              </w:rPr>
              <w:t>pp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、共建、不动产持有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6" w:type="dxa"/>
          </w:tcPr>
          <w:p>
            <w:pPr>
              <w:rPr>
                <w:b/>
                <w:bCs/>
                <w:color w:val="00808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8080"/>
                <w:sz w:val="24"/>
                <w:szCs w:val="24"/>
              </w:rPr>
              <w:t>模块三：房地产开发运营管理</w:t>
            </w:r>
          </w:p>
        </w:tc>
        <w:tc>
          <w:tcPr>
            <w:tcW w:w="5203" w:type="dxa"/>
          </w:tcPr>
          <w:p>
            <w:pPr>
              <w:rPr>
                <w:b/>
                <w:bCs/>
                <w:color w:val="00808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8080"/>
                <w:sz w:val="24"/>
                <w:szCs w:val="24"/>
              </w:rPr>
              <w:t>模块四：房地产成本管控与全面预算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房地产集团管控、项目管控与开发流程管理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房地产开发过程全成本管理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房地产企业快速开发与运营管理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招标、采购及合约管理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构建以现金流为主线的计划运营体系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成本目标管理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计划运营与组织绩效激励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全面预算管理体系建立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房地产人力资源战略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房地产工程结算管理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房地产企业绩效管理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现金流管理与风险控制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46" w:type="dxa"/>
          </w:tcPr>
          <w:p>
            <w:pPr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关键词：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轻资产、效率、效益</w:t>
            </w:r>
          </w:p>
        </w:tc>
        <w:tc>
          <w:tcPr>
            <w:tcW w:w="5203" w:type="dxa"/>
          </w:tcPr>
          <w:p>
            <w:pPr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关键词：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成本、回款、现金流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6" w:type="dxa"/>
          </w:tcPr>
          <w:p>
            <w:pPr>
              <w:rPr>
                <w:b/>
                <w:bCs/>
                <w:color w:val="00808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8080"/>
                <w:sz w:val="24"/>
                <w:szCs w:val="24"/>
              </w:rPr>
              <w:t>模块五：房地产项目工程管理</w:t>
            </w:r>
          </w:p>
        </w:tc>
        <w:tc>
          <w:tcPr>
            <w:tcW w:w="5203" w:type="dxa"/>
          </w:tcPr>
          <w:p>
            <w:pPr>
              <w:rPr>
                <w:b/>
                <w:bCs/>
                <w:color w:val="00808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8080"/>
                <w:sz w:val="24"/>
                <w:szCs w:val="24"/>
              </w:rPr>
              <w:t>模块六：房地产营销全案策划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146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建设项目招投标与采购管理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市场竞争战略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146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总包商的供应链管理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房地产行业的整合营销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146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建设工程项目质量与安全风险管理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房地产概念传播与品牌塑造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146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工程建造中专业分包及分包模式</w:t>
            </w:r>
          </w:p>
        </w:tc>
        <w:tc>
          <w:tcPr>
            <w:tcW w:w="5203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建设项目过程中突发事件预防、处理与应对策略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46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建设项目施工现场管理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房地产营销全案策划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46" w:type="dxa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建设项目过程中突发事件预防、处理与应对策略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b/>
                <w:bCs/>
                <w:color w:val="00808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房地产广告策略制定与执行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46" w:type="dxa"/>
          </w:tcPr>
          <w:p>
            <w:pPr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关键词：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环保、质量与安全、分包</w:t>
            </w:r>
          </w:p>
        </w:tc>
        <w:tc>
          <w:tcPr>
            <w:tcW w:w="5203" w:type="dxa"/>
          </w:tcPr>
          <w:p>
            <w:pPr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关键词：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绿色装配、物业服务、社区家园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146" w:type="dxa"/>
          </w:tcPr>
          <w:p>
            <w:pPr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8080"/>
                <w:sz w:val="24"/>
                <w:szCs w:val="24"/>
              </w:rPr>
              <w:t>模块七：物业管理与业主关系</w:t>
            </w:r>
          </w:p>
        </w:tc>
        <w:tc>
          <w:tcPr>
            <w:tcW w:w="5203" w:type="dxa"/>
          </w:tcPr>
          <w:p>
            <w:pPr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8080"/>
                <w:sz w:val="24"/>
                <w:szCs w:val="24"/>
              </w:rPr>
              <w:t>模块八：房地产行业税务筹划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物业管理规划与物业价值的提升</w:t>
            </w:r>
          </w:p>
        </w:tc>
        <w:tc>
          <w:tcPr>
            <w:tcW w:w="52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营改增后房地产最新税收政策解读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物业管理公司与开发商的战略合作</w:t>
            </w:r>
          </w:p>
        </w:tc>
        <w:tc>
          <w:tcPr>
            <w:tcW w:w="52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房地产企业战略层面的税务规划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物业多种经营模式探讨与案例分享</w:t>
            </w:r>
          </w:p>
        </w:tc>
        <w:tc>
          <w:tcPr>
            <w:tcW w:w="52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房地产开发企业的主要税种及税率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智慧社区与智慧物业</w:t>
            </w:r>
          </w:p>
        </w:tc>
        <w:tc>
          <w:tcPr>
            <w:tcW w:w="52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房地产企业税务规划与统筹之道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卓越的客户关系管理</w:t>
            </w:r>
          </w:p>
        </w:tc>
        <w:tc>
          <w:tcPr>
            <w:tcW w:w="52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房地产企业经营层面的税务规划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146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物业服务品质提升实战案例分享</w:t>
            </w:r>
          </w:p>
        </w:tc>
        <w:tc>
          <w:tcPr>
            <w:tcW w:w="52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房地产并购重组过程会中的税务风险应对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46" w:type="dxa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关键词：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服务品质、物联网、智慧社区</w:t>
            </w:r>
          </w:p>
        </w:tc>
        <w:tc>
          <w:tcPr>
            <w:tcW w:w="5203" w:type="dxa"/>
          </w:tcPr>
          <w:p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关键词：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营改增、并购、重组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349" w:type="dxa"/>
            <w:gridSpan w:val="2"/>
          </w:tcPr>
          <w:p>
            <w:pPr>
              <w:jc w:val="center"/>
              <w:rPr>
                <w:b/>
                <w:bCs/>
                <w:color w:val="00808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8080"/>
                <w:sz w:val="30"/>
                <w:szCs w:val="30"/>
              </w:rPr>
              <w:t>第二课堂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1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主题一：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班级团建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高尔夫、羽毛球等活动增进学员间的融合</w:t>
            </w:r>
          </w:p>
        </w:tc>
        <w:tc>
          <w:tcPr>
            <w:tcW w:w="520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主题二：资源对接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房地产行业上下游配套产业链沙龙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主题一：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行业私享会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邀请业内大咖就行业热点剖析解读</w:t>
            </w:r>
          </w:p>
        </w:tc>
        <w:tc>
          <w:tcPr>
            <w:tcW w:w="520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主题一：商务游学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国内标杆地产企业及特色项目参访交流</w:t>
            </w:r>
          </w:p>
        </w:tc>
      </w:tr>
    </w:tbl>
    <w:p>
      <w:pPr>
        <w:ind w:firstLine="600" w:firstLineChars="200"/>
        <w:rPr>
          <w:b/>
          <w:bCs/>
          <w:color w:val="008080"/>
          <w:sz w:val="30"/>
          <w:szCs w:val="30"/>
        </w:rPr>
      </w:pPr>
    </w:p>
    <w:p>
      <w:pPr>
        <w:rPr>
          <w:b/>
          <w:bCs/>
          <w:color w:val="008080"/>
          <w:sz w:val="30"/>
          <w:szCs w:val="30"/>
        </w:rPr>
      </w:pPr>
      <w:r>
        <w:rPr>
          <w:rFonts w:hint="eastAsia"/>
          <w:b/>
          <w:bCs/>
          <w:color w:val="008080"/>
          <w:sz w:val="30"/>
          <w:szCs w:val="30"/>
        </w:rPr>
        <w:t>【</w:t>
      </w:r>
      <w:r>
        <w:rPr>
          <w:rFonts w:hint="eastAsia"/>
          <w:b/>
          <w:bCs/>
          <w:color w:val="FF0000"/>
          <w:sz w:val="30"/>
          <w:szCs w:val="30"/>
        </w:rPr>
        <w:t>拟聘师资</w:t>
      </w:r>
      <w:r>
        <w:rPr>
          <w:rFonts w:hint="eastAsia"/>
          <w:b/>
          <w:bCs/>
          <w:color w:val="008080"/>
          <w:sz w:val="30"/>
          <w:szCs w:val="30"/>
        </w:rPr>
        <w:t>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李战军：现任中国房地产业协会首席研究员，浦东改革与发展研究院房地产经济研究中心主任、研究员；清华大学、北京大学等高校房地产总裁班特聘教授;《中国房地产年鉴》、《中国房地产市场报告》执行主编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陆德明：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教授、博导，国务院“政府特殊津贴”专家（1995）。现任中国再发展经济研究所首席教授／所长。前复旦大学经济学院院长、中国经济研究中心主任、上海市经济学会副会长。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张健：资深房地产投融资和战略专家; 全国工商联房地产商会特聘专家。著有《房地产投资》、《房地产企业融资》、《房地产基金实务》和《房地产金融实务》等六部房地产专著。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许鸿奕：房地产实战派运营专家，曾任万科集团职业经理人。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邓应：房地产全流程运营管理实战专家，16年房地产管理咨询经验。万科、绿地、华润置地、碧桂园、中粮地产、鲁能集团、苏宁置业、绿地集团等指定顾问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杨凡：国家注册建筑师，高级工程师，国内房地产行业设计资深专家，国内多所高校地产MBA班特聘讲师。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李   忠：国际房产全程营销策划专家，华高莱斯执行董事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吕子明：房地产工程项目管理实战专家、万科星级讲师、曾任职于鲁能集团、万科集团、中国金茂等标杆房地产企业。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刘祥：20余年房地产标杆房企任职经历，前龙湖地产高管。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黄东兴：万科物业/房地产学院经管系主任，万科物业领域十大讲师之一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万科房地产学院物业课程研发组成员。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黎宇清：实战物业管理专家，高级物业培训师华润置地、任雅居乐物业管理有限公司高层管理。</w:t>
      </w:r>
    </w:p>
    <w:p>
      <w:pPr>
        <w:pStyle w:val="4"/>
        <w:spacing w:before="0" w:beforeAutospacing="0" w:after="0" w:afterAutospacing="0"/>
        <w:rPr>
          <w:rFonts w:asciiTheme="minorHAnsi" w:hAnsiTheme="minorHAnsi" w:eastAsiaTheme="minorEastAsia" w:cstheme="minorBidi"/>
          <w:kern w:val="2"/>
        </w:rPr>
      </w:pPr>
      <w:r>
        <w:rPr>
          <w:rFonts w:hint="eastAsia"/>
        </w:rPr>
        <w:t>孙凡：</w:t>
      </w:r>
      <w:r>
        <w:rPr>
          <w:rFonts w:asciiTheme="minorHAnsi" w:hAnsiTheme="minorHAnsi" w:eastAsiaTheme="minorEastAsia" w:cstheme="minorBidi"/>
          <w:kern w:val="2"/>
        </w:rPr>
        <w:t>龙湖管理解析第一人</w:t>
      </w:r>
      <w:r>
        <w:rPr>
          <w:rFonts w:hint="eastAsia" w:asciiTheme="minorHAnsi" w:hAnsiTheme="minorHAnsi" w:eastAsiaTheme="minorEastAsia" w:cstheme="minorBidi"/>
          <w:kern w:val="2"/>
        </w:rPr>
        <w:t>、</w:t>
      </w:r>
      <w:r>
        <w:rPr>
          <w:rFonts w:asciiTheme="minorHAnsi" w:hAnsiTheme="minorHAnsi" w:eastAsiaTheme="minorEastAsia" w:cstheme="minorBidi"/>
          <w:kern w:val="2"/>
        </w:rPr>
        <w:t>地产与物管共创品牌的先行者</w:t>
      </w:r>
      <w:r>
        <w:rPr>
          <w:rFonts w:hint="eastAsia" w:asciiTheme="minorHAnsi" w:hAnsiTheme="minorHAnsi" w:eastAsiaTheme="minorEastAsia" w:cstheme="minorBidi"/>
          <w:kern w:val="2"/>
        </w:rPr>
        <w:t>、</w:t>
      </w:r>
      <w:r>
        <w:rPr>
          <w:rFonts w:asciiTheme="minorHAnsi" w:hAnsiTheme="minorHAnsi" w:eastAsiaTheme="minorEastAsia" w:cstheme="minorBidi"/>
          <w:kern w:val="2"/>
        </w:rPr>
        <w:t>中国房地产培训协会、中房商学院特约讲师</w:t>
      </w:r>
      <w:r>
        <w:rPr>
          <w:rFonts w:hint="eastAsia" w:asciiTheme="minorHAnsi" w:hAnsiTheme="minorHAnsi" w:eastAsiaTheme="minorEastAsia" w:cstheme="minorBidi"/>
          <w:kern w:val="2"/>
        </w:rPr>
        <w:t>、</w:t>
      </w:r>
      <w:r>
        <w:rPr>
          <w:rFonts w:asciiTheme="minorHAnsi" w:hAnsiTheme="minorHAnsi" w:eastAsiaTheme="minorEastAsia" w:cstheme="minorBidi"/>
          <w:kern w:val="2"/>
        </w:rPr>
        <w:t>中国物业管理行业协会特约讲师</w:t>
      </w:r>
      <w:r>
        <w:rPr>
          <w:rFonts w:hint="eastAsia" w:asciiTheme="minorHAnsi" w:hAnsiTheme="minorHAnsi" w:eastAsiaTheme="minorEastAsia" w:cstheme="minorBidi"/>
          <w:kern w:val="2"/>
        </w:rPr>
        <w:t>。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林佳良：中国注册税务师、会计师、律师，著名房地产行业纳税规划实战筹划专家，被誉为房地产财税答疑“第一人”。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许愿：房地产实战财务管理专家; 资深上市并购重组与财务管理专家、中国十大优秀财税管理讲师、现任马云（中国）财税研究院高层。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乔润令：国家发改委城市和小城镇改革发展中心副主任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李</w:t>
      </w:r>
      <w:r>
        <w:rPr>
          <w:sz w:val="24"/>
          <w:szCs w:val="24"/>
        </w:rPr>
        <w:t xml:space="preserve"> 铁</w:t>
      </w:r>
      <w:r>
        <w:rPr>
          <w:rFonts w:hint="eastAsia"/>
          <w:sz w:val="24"/>
          <w:szCs w:val="24"/>
        </w:rPr>
        <w:t>：原国家发展改革委员会城市和小城镇改革发展中心主任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孟晓苏：原中房集团董事长，现中房集团理事长、房地产协会副会长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梁士毅：上海现代建筑设计集团高级工程师，住建部监理和项目管理战略发展专家委员会专家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李记有：</w:t>
      </w:r>
      <w:r>
        <w:rPr>
          <w:sz w:val="24"/>
          <w:szCs w:val="24"/>
        </w:rPr>
        <w:t xml:space="preserve"> 税务筹划实战运作专家 清华大学税务筹划课程特聘教授</w:t>
      </w:r>
    </w:p>
    <w:p>
      <w:pPr>
        <w:ind w:firstLine="600" w:firstLineChars="200"/>
        <w:rPr>
          <w:b/>
          <w:bCs/>
          <w:color w:val="008080"/>
          <w:sz w:val="30"/>
          <w:szCs w:val="30"/>
        </w:rPr>
      </w:pPr>
      <w:r>
        <w:rPr>
          <w:rFonts w:hint="eastAsia"/>
          <w:b/>
          <w:bCs/>
          <w:color w:val="008080"/>
          <w:sz w:val="30"/>
          <w:szCs w:val="30"/>
        </w:rPr>
        <w:t>【</w:t>
      </w:r>
      <w:r>
        <w:rPr>
          <w:rFonts w:hint="eastAsia"/>
          <w:b/>
          <w:bCs/>
          <w:color w:val="FF0000"/>
          <w:sz w:val="30"/>
          <w:szCs w:val="30"/>
        </w:rPr>
        <w:t>报名须知</w:t>
      </w:r>
      <w:r>
        <w:rPr>
          <w:rFonts w:hint="eastAsia"/>
          <w:b/>
          <w:bCs/>
          <w:color w:val="008080"/>
          <w:sz w:val="30"/>
          <w:szCs w:val="30"/>
        </w:rPr>
        <w:t>】</w:t>
      </w:r>
    </w:p>
    <w:p>
      <w:pPr>
        <w:spacing w:line="276" w:lineRule="auto"/>
        <w:ind w:left="420"/>
        <w:rPr>
          <w:rFonts w:ascii="华文中宋" w:hAnsi="华文中宋" w:eastAsia="华文中宋"/>
          <w:b/>
          <w:szCs w:val="21"/>
        </w:rPr>
      </w:pPr>
      <w:r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招生对象：</w:t>
      </w:r>
    </w:p>
    <w:p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房地产及房地产相关上下游企业总裁、董事长、总经理等高层管理人员；</w:t>
      </w:r>
    </w:p>
    <w:p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银行、金融业从业高级管理人员；</w:t>
      </w:r>
    </w:p>
    <w:p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房地产相关研究机构高级研究人员；</w:t>
      </w:r>
    </w:p>
    <w:p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准备进军房地产界的企业家、投资人及高级经理人。</w:t>
      </w:r>
    </w:p>
    <w:p>
      <w:pPr>
        <w:spacing w:line="276" w:lineRule="auto"/>
        <w:ind w:left="420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教学安排：</w:t>
      </w:r>
    </w:p>
    <w:p>
      <w:pPr>
        <w:pStyle w:val="10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学制：12个月，每月一次课程，一次2天（周六、周日）</w:t>
      </w:r>
    </w:p>
    <w:p>
      <w:pPr>
        <w:pStyle w:val="10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班制：小班教学制，每班50人</w:t>
      </w:r>
    </w:p>
    <w:p>
      <w:pPr>
        <w:pStyle w:val="10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授课地点：河南.郑州</w:t>
      </w:r>
    </w:p>
    <w:p>
      <w:pPr>
        <w:spacing w:line="276" w:lineRule="auto"/>
        <w:ind w:left="420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学习费用：</w:t>
      </w:r>
    </w:p>
    <w:p>
      <w:pPr>
        <w:pStyle w:val="10"/>
        <w:numPr>
          <w:ilvl w:val="0"/>
          <w:numId w:val="2"/>
        </w:numPr>
        <w:spacing w:line="276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学费：59800元｜人（含听课费、 教材讲义费及其它资料费用），食宿、交通费用自理</w:t>
      </w:r>
    </w:p>
    <w:p>
      <w:pPr>
        <w:spacing w:line="276" w:lineRule="auto"/>
        <w:ind w:left="420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入学程序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1.提交入学申请表、身份证及学历证明复印件审核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2.申请资料经审核，参考公司行业、个人背景、报名顺序，确定录取名单;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3.发放入学通知书，学员按规定时间交纳学费；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4.报到上课。</w:t>
      </w:r>
    </w:p>
    <w:p>
      <w:pPr>
        <w:ind w:firstLine="420" w:firstLineChars="200"/>
        <w:rPr>
          <w:rFonts w:hint="eastAsia" w:eastAsia="幼圆"/>
          <w:szCs w:val="21"/>
        </w:rPr>
      </w:pPr>
    </w:p>
    <w:p>
      <w:pPr>
        <w:jc w:val="center"/>
        <w:rPr>
          <w:rFonts w:hint="eastAsia" w:ascii="黑体" w:hAnsi="华文楷体" w:eastAsia="黑体"/>
          <w:b/>
          <w:sz w:val="44"/>
          <w:szCs w:val="44"/>
        </w:rPr>
      </w:pPr>
      <w:r>
        <w:rPr>
          <w:rFonts w:hint="eastAsia" w:ascii="黑体" w:hAnsi="华文楷体" w:eastAsia="黑体"/>
          <w:b/>
          <w:sz w:val="44"/>
          <w:szCs w:val="44"/>
        </w:rPr>
        <w:t xml:space="preserve">郑大房地产实战运营总裁班 </w:t>
      </w:r>
    </w:p>
    <w:p>
      <w:pPr>
        <w:jc w:val="center"/>
        <w:rPr>
          <w:rFonts w:hint="eastAsia" w:ascii="黑体" w:hAnsi="华文楷体" w:eastAsia="黑体"/>
          <w:b/>
          <w:sz w:val="44"/>
          <w:szCs w:val="44"/>
        </w:rPr>
      </w:pPr>
      <w:r>
        <w:rPr>
          <w:rFonts w:hint="eastAsia" w:ascii="黑体" w:hAnsi="华文楷体" w:eastAsia="黑体"/>
          <w:b/>
          <w:sz w:val="44"/>
          <w:szCs w:val="44"/>
        </w:rPr>
        <w:t>入学申请表</w:t>
      </w:r>
    </w:p>
    <w:p>
      <w:pPr>
        <w:rPr>
          <w:rFonts w:hint="eastAsia" w:ascii="黑体" w:hAnsi="华文楷体" w:eastAsia="黑体"/>
          <w:b/>
          <w:sz w:val="36"/>
          <w:szCs w:val="36"/>
        </w:rPr>
      </w:pPr>
      <w:r>
        <w:rPr>
          <w:rFonts w:hint="eastAsia" w:ascii="黑体" w:hAnsi="华文楷体" w:eastAsia="黑体"/>
          <w:b/>
          <w:sz w:val="36"/>
          <w:szCs w:val="36"/>
        </w:rPr>
        <w:t>『个人信息』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78"/>
        <w:gridCol w:w="301"/>
        <w:gridCol w:w="581"/>
        <w:gridCol w:w="621"/>
        <w:gridCol w:w="456"/>
        <w:gridCol w:w="1141"/>
        <w:gridCol w:w="715"/>
        <w:gridCol w:w="650"/>
        <w:gridCol w:w="49"/>
        <w:gridCol w:w="873"/>
        <w:gridCol w:w="37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姓 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性 别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出生年月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籍   贯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rPr>
                <w:rFonts w:hint="eastAsia" w:ascii="黑体" w:hAnsi="华文楷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工作单位</w:t>
            </w:r>
          </w:p>
        </w:tc>
        <w:tc>
          <w:tcPr>
            <w:tcW w:w="32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公司地址</w:t>
            </w:r>
          </w:p>
        </w:tc>
        <w:tc>
          <w:tcPr>
            <w:tcW w:w="43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身份证号</w:t>
            </w:r>
          </w:p>
        </w:tc>
        <w:tc>
          <w:tcPr>
            <w:tcW w:w="32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家庭住址</w:t>
            </w:r>
          </w:p>
        </w:tc>
        <w:tc>
          <w:tcPr>
            <w:tcW w:w="43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职务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手机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管理工作年限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人力资源</w:t>
            </w:r>
          </w:p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负责人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联系方式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办公电话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公司</w:t>
            </w:r>
          </w:p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主营业务</w:t>
            </w:r>
          </w:p>
        </w:tc>
        <w:tc>
          <w:tcPr>
            <w:tcW w:w="8708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华文楷体" w:eastAsia="黑体"/>
                <w:b/>
              </w:rPr>
            </w:pPr>
          </w:p>
          <w:p>
            <w:pPr>
              <w:jc w:val="center"/>
              <w:rPr>
                <w:rFonts w:ascii="黑体" w:hAnsi="华文楷体" w:eastAsia="黑体"/>
                <w:b/>
              </w:rPr>
            </w:pPr>
          </w:p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培训经历</w:t>
            </w: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培训机构名称</w:t>
            </w:r>
          </w:p>
        </w:tc>
        <w:tc>
          <w:tcPr>
            <w:tcW w:w="2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培训形式</w:t>
            </w:r>
          </w:p>
        </w:tc>
        <w:tc>
          <w:tcPr>
            <w:tcW w:w="29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2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29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29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  <w:tc>
          <w:tcPr>
            <w:tcW w:w="29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单位性质</w:t>
            </w:r>
          </w:p>
        </w:tc>
        <w:tc>
          <w:tcPr>
            <w:tcW w:w="8708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□国有或国有控股     □政府部门和事业单位     □民营或私人控股</w:t>
            </w:r>
          </w:p>
          <w:p>
            <w:pPr>
              <w:spacing w:line="360" w:lineRule="auto"/>
              <w:rPr>
                <w:rFonts w:hint="eastAsia" w:ascii="黑体" w:hAnsi="华文楷体" w:eastAsia="黑体"/>
                <w:b/>
                <w:color w:val="FF0000"/>
              </w:rPr>
            </w:pPr>
            <w:r>
              <w:rPr>
                <w:rFonts w:hint="eastAsia" w:ascii="黑体" w:hAnsi="华文楷体" w:eastAsia="黑体"/>
                <w:b/>
              </w:rPr>
              <w:t>□独资或外资控股（注明国别）</w:t>
            </w:r>
            <w:r>
              <w:rPr>
                <w:rFonts w:hint="eastAsia" w:ascii="黑体" w:hAnsi="华文楷体" w:eastAsia="黑体"/>
                <w:b/>
                <w:u w:val="single"/>
              </w:rPr>
              <w:t xml:space="preserve">            </w:t>
            </w:r>
            <w:r>
              <w:rPr>
                <w:rFonts w:hint="eastAsia" w:ascii="黑体" w:hAnsi="华文楷体" w:eastAsia="黑体"/>
                <w:b/>
              </w:rPr>
              <w:t xml:space="preserve">      □其它类型单位，请列明</w:t>
            </w:r>
            <w:r>
              <w:rPr>
                <w:rFonts w:hint="eastAsia" w:ascii="黑体" w:hAnsi="华文楷体" w:eastAsia="黑体"/>
                <w:b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单位规模</w:t>
            </w:r>
          </w:p>
        </w:tc>
        <w:tc>
          <w:tcPr>
            <w:tcW w:w="8708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□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50</w:t>
            </w:r>
            <w:r>
              <w:rPr>
                <w:rFonts w:hint="eastAsia" w:ascii="黑体" w:hAnsi="华文楷体" w:eastAsia="黑体"/>
                <w:b/>
              </w:rPr>
              <w:t>00万以下   □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50</w:t>
            </w:r>
            <w:r>
              <w:rPr>
                <w:rFonts w:hint="eastAsia" w:ascii="黑体" w:hAnsi="华文楷体" w:eastAsia="黑体"/>
                <w:b/>
              </w:rPr>
              <w:t>00-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1亿</w:t>
            </w:r>
            <w:r>
              <w:rPr>
                <w:rFonts w:hint="eastAsia" w:ascii="黑体" w:hAnsi="华文楷体" w:eastAsia="黑体"/>
                <w:b/>
              </w:rPr>
              <w:t xml:space="preserve">   □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1亿</w:t>
            </w:r>
            <w:r>
              <w:rPr>
                <w:rFonts w:hint="eastAsia" w:ascii="黑体" w:hAnsi="华文楷体" w:eastAsia="黑体"/>
                <w:b/>
              </w:rPr>
              <w:t>-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3亿</w:t>
            </w:r>
            <w:r>
              <w:rPr>
                <w:rFonts w:hint="eastAsia" w:ascii="黑体" w:hAnsi="华文楷体" w:eastAsia="黑体"/>
                <w:b/>
              </w:rPr>
              <w:t xml:space="preserve">   □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3亿</w:t>
            </w:r>
            <w:r>
              <w:rPr>
                <w:rFonts w:hint="eastAsia" w:ascii="黑体" w:hAnsi="华文楷体" w:eastAsia="黑体"/>
                <w:b/>
              </w:rPr>
              <w:t>万-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hAnsi="华文楷体" w:eastAsia="黑体"/>
                <w:b/>
              </w:rPr>
              <w:t>亿   □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5</w:t>
            </w:r>
            <w:r>
              <w:rPr>
                <w:rFonts w:hint="eastAsia" w:ascii="黑体" w:hAnsi="华文楷体" w:eastAsia="黑体"/>
                <w:b/>
              </w:rPr>
              <w:t>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>管理难题</w:t>
            </w:r>
          </w:p>
        </w:tc>
        <w:tc>
          <w:tcPr>
            <w:tcW w:w="8708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 xml:space="preserve">□战略设计 </w:t>
            </w:r>
            <w:r>
              <w:rPr>
                <w:rFonts w:ascii="黑体" w:hAnsi="华文楷体" w:eastAsia="黑体"/>
                <w:b/>
              </w:rPr>
              <w:t xml:space="preserve"> </w:t>
            </w:r>
            <w:r>
              <w:rPr>
                <w:rFonts w:hint="eastAsia" w:ascii="黑体" w:hAnsi="华文楷体" w:eastAsia="黑体"/>
                <w:b/>
              </w:rPr>
              <w:t>□</w:t>
            </w:r>
            <w:r>
              <w:rPr>
                <w:rFonts w:hint="eastAsia" w:ascii="黑体" w:hAnsi="华文楷体" w:eastAsia="黑体"/>
                <w:b/>
                <w:lang w:val="en-US" w:eastAsia="zh-CN"/>
              </w:rPr>
              <w:t>企业融资</w:t>
            </w:r>
            <w:r>
              <w:rPr>
                <w:rFonts w:hint="eastAsia" w:ascii="黑体" w:hAnsi="华文楷体" w:eastAsia="黑体"/>
                <w:b/>
              </w:rPr>
              <w:t xml:space="preserve"> </w:t>
            </w:r>
            <w:r>
              <w:rPr>
                <w:rFonts w:ascii="黑体" w:hAnsi="华文楷体" w:eastAsia="黑体"/>
                <w:b/>
              </w:rPr>
              <w:t xml:space="preserve"> </w:t>
            </w:r>
            <w:r>
              <w:rPr>
                <w:rFonts w:hint="eastAsia" w:ascii="黑体" w:hAnsi="华文楷体" w:eastAsia="黑体"/>
                <w:b/>
              </w:rPr>
              <w:t xml:space="preserve"> □薪酬设计 </w:t>
            </w:r>
            <w:r>
              <w:rPr>
                <w:rFonts w:ascii="黑体" w:hAnsi="华文楷体" w:eastAsia="黑体"/>
                <w:b/>
              </w:rPr>
              <w:t xml:space="preserve"> </w:t>
            </w:r>
            <w:r>
              <w:rPr>
                <w:rFonts w:hint="eastAsia" w:ascii="黑体" w:hAnsi="华文楷体" w:eastAsia="黑体"/>
                <w:b/>
              </w:rPr>
              <w:t xml:space="preserve"> □股权激励  □营销战术</w:t>
            </w:r>
          </w:p>
          <w:p>
            <w:pPr>
              <w:spacing w:line="360" w:lineRule="auto"/>
              <w:rPr>
                <w:rFonts w:hint="eastAsia" w:ascii="黑体" w:hAnsi="华文楷体" w:eastAsia="黑体"/>
                <w:b/>
              </w:rPr>
            </w:pPr>
            <w:r>
              <w:rPr>
                <w:rFonts w:hint="eastAsia" w:ascii="黑体" w:hAnsi="华文楷体" w:eastAsia="黑体"/>
                <w:b/>
              </w:rPr>
              <w:t xml:space="preserve">□企业文化  □财务预算 </w:t>
            </w:r>
            <w:r>
              <w:rPr>
                <w:rFonts w:ascii="黑体" w:hAnsi="华文楷体" w:eastAsia="黑体"/>
                <w:b/>
              </w:rPr>
              <w:t xml:space="preserve">  </w:t>
            </w:r>
            <w:r>
              <w:rPr>
                <w:rFonts w:hint="eastAsia" w:ascii="黑体" w:hAnsi="华文楷体" w:eastAsia="黑体"/>
                <w:b/>
              </w:rPr>
              <w:t xml:space="preserve">□识人用人 </w:t>
            </w:r>
            <w:r>
              <w:rPr>
                <w:rFonts w:ascii="黑体" w:hAnsi="华文楷体" w:eastAsia="黑体"/>
                <w:b/>
              </w:rPr>
              <w:t xml:space="preserve">  </w:t>
            </w:r>
            <w:r>
              <w:rPr>
                <w:rFonts w:hint="eastAsia" w:ascii="黑体" w:hAnsi="华文楷体" w:eastAsia="黑体"/>
                <w:b/>
              </w:rPr>
              <w:t xml:space="preserve">□风险投资 </w:t>
            </w:r>
            <w:r>
              <w:rPr>
                <w:rFonts w:ascii="黑体" w:hAnsi="华文楷体" w:eastAsia="黑体"/>
                <w:b/>
              </w:rPr>
              <w:t xml:space="preserve"> </w:t>
            </w:r>
            <w:r>
              <w:rPr>
                <w:rFonts w:hint="eastAsia" w:ascii="黑体" w:hAnsi="华文楷体" w:eastAsia="黑体"/>
                <w:b/>
              </w:rPr>
              <w:t>□企业扩张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ind w:firstLine="211" w:firstLineChars="100"/>
              <w:rPr>
                <w:rFonts w:hint="eastAsia" w:ascii="黑体" w:hAnsi="华文楷体" w:eastAsia="黑体"/>
                <w:b/>
                <w:szCs w:val="21"/>
              </w:rPr>
            </w:pPr>
            <w:r>
              <w:rPr>
                <w:rFonts w:hint="eastAsia" w:ascii="黑体" w:hAnsi="华文楷体" w:eastAsia="黑体"/>
                <w:b/>
                <w:szCs w:val="21"/>
              </w:rPr>
              <w:t>资料清单</w:t>
            </w:r>
          </w:p>
        </w:tc>
        <w:tc>
          <w:tcPr>
            <w:tcW w:w="8708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华文楷体" w:eastAsia="黑体"/>
                <w:b/>
                <w:szCs w:val="21"/>
              </w:rPr>
            </w:pPr>
            <w:r>
              <w:rPr>
                <w:rFonts w:hint="eastAsia" w:ascii="黑体" w:hAnsi="华文楷体" w:eastAsia="黑体"/>
                <w:b/>
              </w:rPr>
              <w:t>□</w:t>
            </w:r>
            <w:r>
              <w:rPr>
                <w:rFonts w:hint="eastAsia" w:ascii="黑体" w:hAnsi="华文楷体" w:eastAsia="黑体"/>
                <w:b/>
                <w:szCs w:val="21"/>
              </w:rPr>
              <w:t xml:space="preserve">完整的入学申请表 </w:t>
            </w:r>
            <w:r>
              <w:rPr>
                <w:rFonts w:ascii="黑体" w:hAnsi="华文楷体" w:eastAsia="黑体"/>
                <w:b/>
                <w:szCs w:val="21"/>
              </w:rPr>
              <w:t xml:space="preserve">  </w:t>
            </w:r>
            <w:r>
              <w:rPr>
                <w:rFonts w:hint="eastAsia" w:ascii="黑体" w:hAnsi="华文楷体" w:eastAsia="黑体"/>
                <w:b/>
              </w:rPr>
              <w:t>□</w:t>
            </w:r>
            <w:r>
              <w:rPr>
                <w:rFonts w:hint="eastAsia" w:ascii="黑体" w:hAnsi="华文楷体" w:eastAsia="黑体"/>
                <w:b/>
                <w:szCs w:val="21"/>
              </w:rPr>
              <w:t xml:space="preserve">身份证复印件1张 </w:t>
            </w:r>
            <w:r>
              <w:rPr>
                <w:rFonts w:ascii="黑体" w:hAnsi="华文楷体" w:eastAsia="黑体"/>
                <w:b/>
                <w:szCs w:val="21"/>
              </w:rPr>
              <w:t xml:space="preserve"> </w:t>
            </w:r>
            <w:r>
              <w:rPr>
                <w:rFonts w:hint="eastAsia" w:ascii="黑体" w:hAnsi="华文楷体" w:eastAsia="黑体"/>
                <w:b/>
              </w:rPr>
              <w:t xml:space="preserve">□学历证明复印件 </w:t>
            </w:r>
            <w:r>
              <w:rPr>
                <w:rFonts w:ascii="黑体" w:hAnsi="华文楷体" w:eastAsia="黑体"/>
                <w:b/>
              </w:rPr>
              <w:t xml:space="preserve"> </w:t>
            </w:r>
            <w:r>
              <w:rPr>
                <w:rFonts w:hint="eastAsia" w:ascii="黑体" w:hAnsi="华文楷体" w:eastAsia="黑体"/>
                <w:b/>
              </w:rPr>
              <w:t>□</w:t>
            </w:r>
            <w:r>
              <w:rPr>
                <w:rFonts w:hint="eastAsia" w:ascii="黑体" w:hAnsi="华文楷体" w:eastAsia="黑体"/>
                <w:b/>
                <w:szCs w:val="21"/>
              </w:rPr>
              <w:t>到账证明</w:t>
            </w:r>
          </w:p>
        </w:tc>
      </w:tr>
    </w:tbl>
    <w:p>
      <w:pPr>
        <w:rPr>
          <w:rFonts w:hint="eastAsia" w:ascii="黑体" w:hAnsi="华文楷体" w:eastAsia="黑体"/>
          <w:b/>
        </w:rPr>
      </w:pPr>
    </w:p>
    <w:p>
      <w:pPr>
        <w:rPr>
          <w:rFonts w:hint="eastAsia" w:ascii="黑体" w:hAnsi="华文楷体" w:eastAsia="黑体"/>
          <w:b/>
          <w:sz w:val="18"/>
          <w:szCs w:val="18"/>
        </w:rPr>
      </w:pPr>
    </w:p>
    <w:p>
      <w:pPr>
        <w:spacing w:line="360" w:lineRule="auto"/>
        <w:rPr>
          <w:rFonts w:hint="eastAsia"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 xml:space="preserve">填表日期： </w:t>
      </w:r>
      <w:r>
        <w:rPr>
          <w:rFonts w:ascii="黑体" w:hAnsi="华文楷体" w:eastAsia="黑体"/>
          <w:sz w:val="24"/>
          <w:u w:val="single"/>
        </w:rPr>
        <w:t xml:space="preserve">                 </w:t>
      </w:r>
      <w:r>
        <w:rPr>
          <w:rFonts w:ascii="黑体" w:hAnsi="华文楷体" w:eastAsia="黑体"/>
          <w:sz w:val="24"/>
        </w:rPr>
        <w:t xml:space="preserve"> </w:t>
      </w:r>
    </w:p>
    <w:p>
      <w:pPr>
        <w:spacing w:line="360" w:lineRule="auto"/>
        <w:rPr>
          <w:rFonts w:hint="eastAsia" w:ascii="黑体" w:hAnsi="华文楷体" w:eastAsia="黑体"/>
          <w:sz w:val="24"/>
          <w:u w:val="single"/>
        </w:rPr>
      </w:pPr>
      <w:r>
        <w:rPr>
          <w:rFonts w:hint="eastAsia" w:ascii="黑体" w:hAnsi="华文楷体" w:eastAsia="黑体"/>
          <w:sz w:val="24"/>
        </w:rPr>
        <w:t xml:space="preserve">课程顾问： </w:t>
      </w:r>
      <w:r>
        <w:rPr>
          <w:rFonts w:ascii="黑体" w:hAnsi="华文楷体" w:eastAsia="黑体"/>
          <w:sz w:val="24"/>
        </w:rPr>
        <w:t xml:space="preserve"> </w:t>
      </w:r>
      <w:r>
        <w:rPr>
          <w:rFonts w:hint="eastAsia" w:ascii="黑体" w:hAnsi="华文楷体" w:eastAsia="黑体"/>
          <w:sz w:val="24"/>
          <w:u w:val="single"/>
        </w:rPr>
        <w:t xml:space="preserve">                  </w:t>
      </w:r>
    </w:p>
    <w:p>
      <w:pPr>
        <w:spacing w:line="360" w:lineRule="auto"/>
        <w:rPr>
          <w:rFonts w:hint="eastAsia" w:ascii="黑体" w:hAnsi="华文楷体" w:eastAsia="黑体"/>
          <w:sz w:val="24"/>
        </w:rPr>
      </w:pPr>
    </w:p>
    <w:p>
      <w:pPr>
        <w:ind w:firstLine="420" w:firstLineChars="200"/>
        <w:rPr>
          <w:rFonts w:hint="eastAsia" w:eastAsia="幼圆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3B27"/>
    <w:multiLevelType w:val="multilevel"/>
    <w:tmpl w:val="14813B2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21358"/>
    <w:multiLevelType w:val="multilevel"/>
    <w:tmpl w:val="56321358"/>
    <w:lvl w:ilvl="0" w:tentative="0">
      <w:start w:val="1"/>
      <w:numFmt w:val="upperLetter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AE"/>
    <w:rsid w:val="00001E5D"/>
    <w:rsid w:val="000116E2"/>
    <w:rsid w:val="00030420"/>
    <w:rsid w:val="00055A7D"/>
    <w:rsid w:val="000D0F80"/>
    <w:rsid w:val="000D44C5"/>
    <w:rsid w:val="000E2E68"/>
    <w:rsid w:val="000E4E8A"/>
    <w:rsid w:val="0015467C"/>
    <w:rsid w:val="00176A2A"/>
    <w:rsid w:val="001841E3"/>
    <w:rsid w:val="00191BF3"/>
    <w:rsid w:val="001E2215"/>
    <w:rsid w:val="00201440"/>
    <w:rsid w:val="00201EDF"/>
    <w:rsid w:val="00202516"/>
    <w:rsid w:val="0023600A"/>
    <w:rsid w:val="00252506"/>
    <w:rsid w:val="002755F6"/>
    <w:rsid w:val="002828C4"/>
    <w:rsid w:val="002E0ACB"/>
    <w:rsid w:val="002E7CB6"/>
    <w:rsid w:val="002F7684"/>
    <w:rsid w:val="00301588"/>
    <w:rsid w:val="003311CE"/>
    <w:rsid w:val="003717DE"/>
    <w:rsid w:val="0038387B"/>
    <w:rsid w:val="00385FE8"/>
    <w:rsid w:val="003911BE"/>
    <w:rsid w:val="003D3800"/>
    <w:rsid w:val="003F479C"/>
    <w:rsid w:val="0040296F"/>
    <w:rsid w:val="00436C40"/>
    <w:rsid w:val="00437F74"/>
    <w:rsid w:val="004452C4"/>
    <w:rsid w:val="004506E9"/>
    <w:rsid w:val="00463321"/>
    <w:rsid w:val="0047579A"/>
    <w:rsid w:val="004E0FF7"/>
    <w:rsid w:val="004F093E"/>
    <w:rsid w:val="004F09E8"/>
    <w:rsid w:val="004F7CBF"/>
    <w:rsid w:val="00554BB7"/>
    <w:rsid w:val="0055536B"/>
    <w:rsid w:val="005B1262"/>
    <w:rsid w:val="005F5E81"/>
    <w:rsid w:val="00612E2E"/>
    <w:rsid w:val="00616DB4"/>
    <w:rsid w:val="00632E6D"/>
    <w:rsid w:val="006B0AA7"/>
    <w:rsid w:val="006C1462"/>
    <w:rsid w:val="006C43AF"/>
    <w:rsid w:val="006D5D69"/>
    <w:rsid w:val="006E3BED"/>
    <w:rsid w:val="006F7383"/>
    <w:rsid w:val="007032AF"/>
    <w:rsid w:val="00707C57"/>
    <w:rsid w:val="00791F0A"/>
    <w:rsid w:val="007A4920"/>
    <w:rsid w:val="007B2558"/>
    <w:rsid w:val="007B2E68"/>
    <w:rsid w:val="007C12CC"/>
    <w:rsid w:val="007C318C"/>
    <w:rsid w:val="007D4AAE"/>
    <w:rsid w:val="00803D74"/>
    <w:rsid w:val="008747CB"/>
    <w:rsid w:val="008864C6"/>
    <w:rsid w:val="008E305A"/>
    <w:rsid w:val="008F07B8"/>
    <w:rsid w:val="0091213C"/>
    <w:rsid w:val="00914AC4"/>
    <w:rsid w:val="00966C09"/>
    <w:rsid w:val="009D1545"/>
    <w:rsid w:val="009E72B5"/>
    <w:rsid w:val="00A32137"/>
    <w:rsid w:val="00AA7027"/>
    <w:rsid w:val="00AC0BFA"/>
    <w:rsid w:val="00AD210C"/>
    <w:rsid w:val="00AE6F06"/>
    <w:rsid w:val="00AE7452"/>
    <w:rsid w:val="00AF68CD"/>
    <w:rsid w:val="00B20635"/>
    <w:rsid w:val="00B20EBE"/>
    <w:rsid w:val="00B368EE"/>
    <w:rsid w:val="00B43B41"/>
    <w:rsid w:val="00B44DD3"/>
    <w:rsid w:val="00B71B66"/>
    <w:rsid w:val="00BA55E4"/>
    <w:rsid w:val="00BC6A64"/>
    <w:rsid w:val="00BD6141"/>
    <w:rsid w:val="00BD7BB9"/>
    <w:rsid w:val="00BE3953"/>
    <w:rsid w:val="00BF33A6"/>
    <w:rsid w:val="00BF473A"/>
    <w:rsid w:val="00BF6CCF"/>
    <w:rsid w:val="00C07663"/>
    <w:rsid w:val="00C30059"/>
    <w:rsid w:val="00C37B68"/>
    <w:rsid w:val="00C4464D"/>
    <w:rsid w:val="00C462F8"/>
    <w:rsid w:val="00C62E66"/>
    <w:rsid w:val="00C649B3"/>
    <w:rsid w:val="00CC620C"/>
    <w:rsid w:val="00CD30D9"/>
    <w:rsid w:val="00D30972"/>
    <w:rsid w:val="00D3480A"/>
    <w:rsid w:val="00D41F93"/>
    <w:rsid w:val="00D91622"/>
    <w:rsid w:val="00D93D08"/>
    <w:rsid w:val="00D964E9"/>
    <w:rsid w:val="00DA1031"/>
    <w:rsid w:val="00DB2F86"/>
    <w:rsid w:val="00DB383A"/>
    <w:rsid w:val="00DB445A"/>
    <w:rsid w:val="00DC5788"/>
    <w:rsid w:val="00DE0A5A"/>
    <w:rsid w:val="00E442AE"/>
    <w:rsid w:val="00E52D6D"/>
    <w:rsid w:val="00E761F1"/>
    <w:rsid w:val="00E8227A"/>
    <w:rsid w:val="00E973E0"/>
    <w:rsid w:val="00EB48E3"/>
    <w:rsid w:val="00EB7CE1"/>
    <w:rsid w:val="00ED6437"/>
    <w:rsid w:val="00EF676D"/>
    <w:rsid w:val="00F3494B"/>
    <w:rsid w:val="00F91D67"/>
    <w:rsid w:val="00FD5012"/>
    <w:rsid w:val="00FE3397"/>
    <w:rsid w:val="3E102920"/>
    <w:rsid w:val="620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418</Words>
  <Characters>2389</Characters>
  <Lines>19</Lines>
  <Paragraphs>5</Paragraphs>
  <TotalTime>1</TotalTime>
  <ScaleCrop>false</ScaleCrop>
  <LinksUpToDate>false</LinksUpToDate>
  <CharactersWithSpaces>2802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2020-08-03T09:51:00Z</dcterms:created>
  <dc:creator>纪东 王</dc:creator>
  <cp:lastModifiedBy>Administrator</cp:lastModifiedBy>
  <dcterms:modified xsi:type="dcterms:W3CDTF">2020-08-07T07:25:29Z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