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40" w:lineRule="auto"/>
        <w:ind w:left="-283" w:leftChars="-135" w:firstLine="256" w:firstLineChars="64"/>
        <w:jc w:val="center"/>
        <w:rPr>
          <w:rFonts w:ascii="微软雅黑" w:hAnsi="微软雅黑" w:eastAsia="微软雅黑" w:cs="宋体"/>
          <w:b/>
          <w:color w:val="000000"/>
          <w:sz w:val="40"/>
          <w:szCs w:val="28"/>
        </w:rPr>
      </w:pPr>
      <w:r>
        <w:rPr>
          <w:rFonts w:hint="eastAsia" w:ascii="微软雅黑" w:hAnsi="微软雅黑" w:eastAsia="微软雅黑" w:cs="宋体"/>
          <w:b/>
          <w:color w:val="000000"/>
          <w:sz w:val="40"/>
          <w:szCs w:val="28"/>
        </w:rPr>
        <w:t>中国老龄产业创新发展与资本运营总裁研修班</w:t>
      </w:r>
    </w:p>
    <w:p>
      <w:pPr>
        <w:adjustRightInd w:val="0"/>
        <w:snapToGrid w:val="0"/>
        <w:spacing w:after="156" w:afterLines="50" w:line="240" w:lineRule="auto"/>
        <w:jc w:val="center"/>
        <w:rPr>
          <w:rFonts w:ascii="微软雅黑" w:hAnsi="微软雅黑" w:eastAsia="微软雅黑" w:cs="宋体"/>
          <w:b/>
          <w:color w:val="00000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color w:val="000000"/>
          <w:sz w:val="44"/>
          <w:szCs w:val="44"/>
        </w:rPr>
        <w:t>2023年招生简章</w:t>
      </w:r>
    </w:p>
    <w:p>
      <w:pPr>
        <w:widowControl/>
        <w:spacing w:line="240" w:lineRule="auto"/>
        <w:ind w:firstLine="566" w:firstLineChars="236"/>
        <w:jc w:val="left"/>
        <w:rPr>
          <w:rFonts w:ascii="微软雅黑" w:hAnsi="微软雅黑" w:eastAsia="微软雅黑" w:cstheme="minorBidi"/>
          <w:sz w:val="24"/>
          <w:szCs w:val="24"/>
        </w:rPr>
      </w:pPr>
      <w:r>
        <w:rPr>
          <w:rFonts w:hint="eastAsia" w:ascii="微软雅黑" w:hAnsi="微软雅黑" w:eastAsia="微软雅黑" w:cstheme="minorBidi"/>
          <w:sz w:val="24"/>
          <w:szCs w:val="24"/>
        </w:rPr>
        <w:t>聚焦老龄产业，集聚精英智慧，分享成功经验，借力产业风口，顺势迎风启航！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theme="minorBidi"/>
          <w:sz w:val="24"/>
          <w:szCs w:val="24"/>
        </w:rPr>
      </w:pPr>
      <w:r>
        <w:rPr>
          <w:rFonts w:hint="eastAsia" w:ascii="微软雅黑" w:hAnsi="微软雅黑" w:eastAsia="微软雅黑" w:cstheme="minorBidi"/>
          <w:sz w:val="24"/>
          <w:szCs w:val="24"/>
        </w:rPr>
        <w:t>“中国老龄产业创新发展与资本运营总裁研修班”</w:t>
      </w:r>
      <w:r>
        <w:rPr>
          <w:rFonts w:hint="eastAsia" w:ascii="微软雅黑" w:hAnsi="微软雅黑" w:eastAsia="微软雅黑" w:cstheme="minorBidi"/>
          <w:b/>
          <w:sz w:val="24"/>
          <w:szCs w:val="24"/>
        </w:rPr>
        <w:t>承袭北大品质，经过十年打磨</w:t>
      </w:r>
      <w:r>
        <w:rPr>
          <w:rFonts w:hint="eastAsia" w:ascii="微软雅黑" w:hAnsi="微软雅黑" w:eastAsia="微软雅黑" w:cstheme="minorBidi"/>
          <w:sz w:val="24"/>
          <w:szCs w:val="24"/>
        </w:rPr>
        <w:t>，再度全面升级。新课程</w:t>
      </w:r>
      <w:r>
        <w:rPr>
          <w:rFonts w:hint="eastAsia" w:ascii="微软雅黑" w:hAnsi="微软雅黑" w:eastAsia="微软雅黑" w:cstheme="minorBidi"/>
          <w:b/>
          <w:sz w:val="24"/>
          <w:szCs w:val="24"/>
        </w:rPr>
        <w:t>“以健康经济为背景，立足全产业链纵伸发展，配合深入浅出的国策解析、引领性的商业模式，彰显的智慧的力量”。</w:t>
      </w:r>
      <w:r>
        <w:rPr>
          <w:rFonts w:hint="eastAsia" w:ascii="微软雅黑" w:hAnsi="微软雅黑" w:eastAsia="微软雅黑" w:cstheme="minorBidi"/>
          <w:sz w:val="24"/>
          <w:szCs w:val="24"/>
        </w:rPr>
        <w:t>“有高度、有广度、有效用、促实干”的课程，切实促进老龄产业各相关的企业深度交流合作，共同推动养老产业从集聚化、互动化、科学化发展。</w:t>
      </w:r>
    </w:p>
    <w:p>
      <w:pPr>
        <w:widowControl/>
        <w:spacing w:line="240" w:lineRule="auto"/>
        <w:jc w:val="left"/>
      </w:pPr>
      <w:r>
        <w:rPr>
          <w:rFonts w:hint="eastAsia" w:ascii="微软雅黑" w:hAnsi="微软雅黑" w:eastAsia="微软雅黑" w:cs="宋体"/>
          <w:b/>
          <w:color w:val="943634"/>
          <w:kern w:val="0"/>
          <w:sz w:val="24"/>
          <w:szCs w:val="24"/>
        </w:rPr>
        <w:t>【课程收获】</w:t>
      </w:r>
    </w:p>
    <w:p>
      <w:pPr>
        <w:pStyle w:val="16"/>
        <w:numPr>
          <w:ilvl w:val="0"/>
          <w:numId w:val="1"/>
        </w:numPr>
        <w:spacing w:line="240" w:lineRule="auto"/>
        <w:ind w:left="0" w:firstLine="0" w:firstLineChars="0"/>
        <w:rPr>
          <w:rFonts w:ascii="微软雅黑" w:hAnsi="微软雅黑" w:eastAsia="微软雅黑"/>
          <w:b/>
          <w:sz w:val="22"/>
          <w:szCs w:val="28"/>
        </w:rPr>
      </w:pPr>
      <w:r>
        <w:rPr>
          <w:rFonts w:hint="eastAsia" w:ascii="微软雅黑" w:hAnsi="微软雅黑" w:eastAsia="微软雅黑"/>
          <w:b/>
          <w:sz w:val="22"/>
          <w:szCs w:val="28"/>
        </w:rPr>
        <w:t>助力企业快速发展：聚集顶尖产业专家的课堂</w:t>
      </w:r>
      <w:r>
        <w:rPr>
          <w:rFonts w:hint="eastAsia" w:ascii="微软雅黑" w:hAnsi="微软雅黑" w:eastAsia="微软雅黑"/>
          <w:sz w:val="22"/>
          <w:szCs w:val="28"/>
        </w:rPr>
        <w:t>，帮您快速准确的了解产业政策、把握发展风向；</w:t>
      </w:r>
    </w:p>
    <w:p>
      <w:pPr>
        <w:pStyle w:val="16"/>
        <w:numPr>
          <w:ilvl w:val="0"/>
          <w:numId w:val="1"/>
        </w:numPr>
        <w:spacing w:line="240" w:lineRule="auto"/>
        <w:ind w:left="0" w:firstLine="0" w:firstLineChars="0"/>
        <w:rPr>
          <w:rFonts w:ascii="微软雅黑" w:hAnsi="微软雅黑" w:eastAsia="微软雅黑"/>
          <w:b/>
          <w:sz w:val="22"/>
          <w:szCs w:val="28"/>
        </w:rPr>
      </w:pPr>
      <w:r>
        <w:rPr>
          <w:rFonts w:hint="eastAsia" w:ascii="微软雅黑" w:hAnsi="微软雅黑" w:eastAsia="微软雅黑"/>
          <w:b/>
          <w:sz w:val="22"/>
          <w:szCs w:val="28"/>
        </w:rPr>
        <w:t>顶尖外脑智库支持：汇集行业精英的同学汇</w:t>
      </w:r>
      <w:r>
        <w:rPr>
          <w:rFonts w:hint="eastAsia" w:ascii="微软雅黑" w:hAnsi="微软雅黑" w:eastAsia="微软雅黑"/>
          <w:sz w:val="22"/>
          <w:szCs w:val="28"/>
        </w:rPr>
        <w:t>，让您拥有了国内顶尖的行业外脑智库；</w:t>
      </w:r>
    </w:p>
    <w:p>
      <w:pPr>
        <w:pStyle w:val="16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b/>
          <w:sz w:val="22"/>
          <w:szCs w:val="28"/>
        </w:rPr>
      </w:pPr>
      <w:r>
        <w:rPr>
          <w:rFonts w:hint="eastAsia" w:ascii="微软雅黑" w:hAnsi="微软雅黑" w:eastAsia="微软雅黑"/>
          <w:b/>
          <w:sz w:val="22"/>
          <w:szCs w:val="28"/>
        </w:rPr>
        <w:t>对接产业优势资源：多年积淀的优质资源，</w:t>
      </w:r>
      <w:r>
        <w:rPr>
          <w:rFonts w:hint="eastAsia" w:ascii="微软雅黑" w:hAnsi="微软雅黑" w:eastAsia="微软雅黑"/>
          <w:sz w:val="22"/>
          <w:szCs w:val="28"/>
        </w:rPr>
        <w:t>为您的成功加油助力。</w:t>
      </w:r>
    </w:p>
    <w:p>
      <w:pPr>
        <w:widowControl/>
        <w:spacing w:line="240" w:lineRule="auto"/>
        <w:jc w:val="left"/>
      </w:pPr>
      <w:r>
        <w:rPr>
          <w:rFonts w:hint="eastAsia" w:ascii="微软雅黑" w:hAnsi="微软雅黑" w:eastAsia="微软雅黑" w:cs="宋体"/>
          <w:b/>
          <w:color w:val="943634"/>
          <w:kern w:val="0"/>
          <w:sz w:val="24"/>
          <w:szCs w:val="24"/>
        </w:rPr>
        <w:t>【课程特点】</w:t>
      </w:r>
    </w:p>
    <w:p>
      <w:pPr>
        <w:pStyle w:val="16"/>
        <w:numPr>
          <w:ilvl w:val="0"/>
          <w:numId w:val="1"/>
        </w:numPr>
        <w:spacing w:line="240" w:lineRule="auto"/>
        <w:ind w:left="0" w:firstLine="0" w:firstLineChars="0"/>
        <w:rPr>
          <w:rFonts w:ascii="微软雅黑" w:hAnsi="微软雅黑" w:eastAsia="微软雅黑"/>
          <w:b/>
          <w:sz w:val="22"/>
          <w:szCs w:val="28"/>
        </w:rPr>
      </w:pPr>
      <w:r>
        <w:rPr>
          <w:rFonts w:hint="eastAsia" w:ascii="微软雅黑" w:hAnsi="微软雅黑" w:eastAsia="微软雅黑"/>
          <w:b/>
          <w:sz w:val="22"/>
          <w:szCs w:val="28"/>
        </w:rPr>
        <w:t>有高度：</w:t>
      </w:r>
      <w:r>
        <w:rPr>
          <w:rFonts w:hint="eastAsia" w:ascii="微软雅黑" w:hAnsi="微软雅黑" w:eastAsia="微软雅黑"/>
          <w:sz w:val="22"/>
          <w:szCs w:val="28"/>
        </w:rPr>
        <w:t>从健康经济的视角，对标国际发展路径，研判当下发展与未来趋势；</w:t>
      </w:r>
    </w:p>
    <w:p>
      <w:pPr>
        <w:pStyle w:val="16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b/>
          <w:sz w:val="22"/>
          <w:szCs w:val="28"/>
        </w:rPr>
      </w:pPr>
      <w:r>
        <w:rPr>
          <w:rFonts w:hint="eastAsia" w:ascii="微软雅黑" w:hAnsi="微软雅黑" w:eastAsia="微软雅黑"/>
          <w:b/>
          <w:sz w:val="22"/>
          <w:szCs w:val="28"/>
        </w:rPr>
        <w:t>有广度：</w:t>
      </w:r>
      <w:r>
        <w:rPr>
          <w:rFonts w:hint="eastAsia" w:ascii="微软雅黑" w:hAnsi="微软雅黑" w:eastAsia="微软雅黑"/>
          <w:sz w:val="22"/>
          <w:szCs w:val="28"/>
        </w:rPr>
        <w:t>着眼产业链纵伸发展，聚集医康养融合方向，解析多业态融合的商业模式；</w:t>
      </w:r>
    </w:p>
    <w:p>
      <w:pPr>
        <w:pStyle w:val="16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b/>
          <w:sz w:val="22"/>
          <w:szCs w:val="28"/>
        </w:rPr>
      </w:pPr>
      <w:r>
        <w:rPr>
          <w:rFonts w:hint="eastAsia" w:ascii="微软雅黑" w:hAnsi="微软雅黑" w:eastAsia="微软雅黑"/>
          <w:b/>
          <w:sz w:val="22"/>
          <w:szCs w:val="28"/>
        </w:rPr>
        <w:t>有效用：</w:t>
      </w:r>
      <w:r>
        <w:rPr>
          <w:rFonts w:hint="eastAsia" w:ascii="微软雅黑" w:hAnsi="微软雅黑" w:eastAsia="微软雅黑"/>
          <w:sz w:val="22"/>
          <w:szCs w:val="28"/>
        </w:rPr>
        <w:t>成熟模式可效仿，成功经验可借鉴，成套管理体系即学即用；</w:t>
      </w:r>
    </w:p>
    <w:p>
      <w:pPr>
        <w:pStyle w:val="16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b/>
          <w:sz w:val="22"/>
          <w:szCs w:val="28"/>
        </w:rPr>
        <w:t>促实干：</w:t>
      </w:r>
      <w:r>
        <w:rPr>
          <w:rFonts w:hint="eastAsia" w:ascii="微软雅黑" w:hAnsi="微软雅黑" w:eastAsia="微软雅黑"/>
          <w:sz w:val="22"/>
          <w:szCs w:val="28"/>
        </w:rPr>
        <w:t>行业资深实干家亲临，甄选学员项目，免费义诊促落地。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【</w:t>
      </w: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招生对象</w:t>
      </w: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】</w:t>
      </w:r>
    </w:p>
    <w:p>
      <w:pPr>
        <w:pStyle w:val="16"/>
        <w:numPr>
          <w:ilvl w:val="1"/>
          <w:numId w:val="2"/>
        </w:numPr>
        <w:adjustRightInd w:val="0"/>
        <w:snapToGrid w:val="0"/>
        <w:spacing w:line="300" w:lineRule="auto"/>
        <w:ind w:left="0" w:firstLine="0" w:firstLineChars="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养老服务机构高层管理人员</w:t>
      </w:r>
    </w:p>
    <w:p>
      <w:pPr>
        <w:pStyle w:val="16"/>
        <w:numPr>
          <w:ilvl w:val="1"/>
          <w:numId w:val="2"/>
        </w:numPr>
        <w:adjustRightInd w:val="0"/>
        <w:snapToGrid w:val="0"/>
        <w:spacing w:line="300" w:lineRule="auto"/>
        <w:ind w:left="0" w:firstLine="0" w:firstLineChars="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民办医疗机构高层管理人员</w:t>
      </w:r>
    </w:p>
    <w:p>
      <w:pPr>
        <w:pStyle w:val="16"/>
        <w:numPr>
          <w:ilvl w:val="1"/>
          <w:numId w:val="2"/>
        </w:numPr>
        <w:adjustRightInd w:val="0"/>
        <w:snapToGrid w:val="0"/>
        <w:spacing w:line="300" w:lineRule="auto"/>
        <w:ind w:left="0" w:firstLine="0" w:firstLineChars="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康养产业投资机构高中层管理人员</w:t>
      </w:r>
    </w:p>
    <w:p>
      <w:pPr>
        <w:pStyle w:val="16"/>
        <w:numPr>
          <w:ilvl w:val="1"/>
          <w:numId w:val="2"/>
        </w:numPr>
        <w:adjustRightInd w:val="0"/>
        <w:snapToGrid w:val="0"/>
        <w:spacing w:line="300" w:lineRule="auto"/>
        <w:ind w:left="0" w:firstLine="0" w:firstLineChars="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转型养老地产、康复机构、医养结合机构的高中层管理人员</w:t>
      </w:r>
    </w:p>
    <w:p>
      <w:pPr>
        <w:pStyle w:val="16"/>
        <w:numPr>
          <w:ilvl w:val="1"/>
          <w:numId w:val="2"/>
        </w:numPr>
        <w:adjustRightInd w:val="0"/>
        <w:snapToGrid w:val="0"/>
        <w:spacing w:line="300" w:lineRule="auto"/>
        <w:ind w:left="0" w:firstLine="0" w:firstLineChars="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政府机关和企事业单位从事健康养老产业工作的人员</w:t>
      </w:r>
    </w:p>
    <w:p>
      <w:pPr>
        <w:pStyle w:val="16"/>
        <w:numPr>
          <w:ilvl w:val="1"/>
          <w:numId w:val="2"/>
        </w:numPr>
        <w:adjustRightInd w:val="0"/>
        <w:snapToGrid w:val="0"/>
        <w:spacing w:line="300" w:lineRule="auto"/>
        <w:ind w:left="0" w:firstLine="0" w:firstLineChars="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涉足老年服务相关产业的各类企业高中层管理人员</w:t>
      </w:r>
    </w:p>
    <w:p>
      <w:pPr>
        <w:pStyle w:val="16"/>
        <w:numPr>
          <w:ilvl w:val="1"/>
          <w:numId w:val="2"/>
        </w:numPr>
        <w:adjustRightInd w:val="0"/>
        <w:snapToGrid w:val="0"/>
        <w:spacing w:line="300" w:lineRule="auto"/>
        <w:ind w:left="0" w:firstLine="0" w:firstLineChars="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准备进入养老的农业、旅游、教育、IT及相关行业的企业家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【</w:t>
      </w: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课程设置</w:t>
      </w: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】</w:t>
      </w:r>
    </w:p>
    <w:tbl>
      <w:tblPr>
        <w:tblStyle w:val="7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15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23" w:type="dxa"/>
            <w:gridSpan w:val="3"/>
            <w:tcBorders>
              <w:bottom w:val="single" w:color="auto" w:sz="4" w:space="0"/>
            </w:tcBorders>
            <w:shd w:val="pct10" w:color="auto" w:fill="63242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kern w:val="0"/>
              </w:rPr>
              <w:t>模块一：医养结合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77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主题课程：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健康老龄化与康养产业发展趋势研判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全国医养结合试点模式对比分析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医养行业投资逻辑与成功案例解析</w:t>
            </w:r>
          </w:p>
        </w:tc>
        <w:tc>
          <w:tcPr>
            <w:tcW w:w="51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案例课程：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互联网远程医养模式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康复医院医养结合模式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社区卫生服务中心嵌入式医养结合模式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23" w:type="dxa"/>
            <w:gridSpan w:val="3"/>
            <w:tcBorders>
              <w:bottom w:val="single" w:color="auto" w:sz="4" w:space="0"/>
            </w:tcBorders>
            <w:shd w:val="pct10" w:color="auto" w:fill="632423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Arial"/>
                <w:b/>
                <w:color w:val="FFFFFF"/>
                <w:kern w:val="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kern w:val="0"/>
              </w:rPr>
              <w:t>模块二：康养社区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77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主题课程：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多业态养老项目的投资与盈利测算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多样化养老社区环境设计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适老化设备设施的选配</w:t>
            </w:r>
          </w:p>
        </w:tc>
        <w:tc>
          <w:tcPr>
            <w:tcW w:w="51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案例课程：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大型康养社区的学院式颐养模式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连锁制康养社区的医康养融合服务体系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大型CCRC社区的“全人化“照护管理模式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tcBorders>
              <w:bottom w:val="single" w:color="auto" w:sz="4" w:space="0"/>
            </w:tcBorders>
            <w:shd w:val="pct10" w:color="auto" w:fill="632423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Arial"/>
                <w:b/>
                <w:color w:val="FFFFFF"/>
                <w:kern w:val="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kern w:val="0"/>
              </w:rPr>
              <w:t>模块三：社区居家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475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主题课程：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连锁社区服务机构的标准化构建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连锁社区服务机构的品质控制及管理要点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连锁社区服务机构的人力资源体系建设</w:t>
            </w:r>
          </w:p>
        </w:tc>
        <w:tc>
          <w:tcPr>
            <w:tcW w:w="516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案例课程：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一体化智慧养老管理服务体系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社区康复与居家护理服务模式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养老驿站服务模式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基于社区的“三位一体”养老服务机构发展模式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3" w:type="dxa"/>
            <w:gridSpan w:val="3"/>
            <w:tcBorders>
              <w:bottom w:val="single" w:color="auto" w:sz="4" w:space="0"/>
            </w:tcBorders>
            <w:shd w:val="pct10" w:color="auto" w:fill="480000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Arial"/>
                <w:color w:val="FFFFFF"/>
                <w:kern w:val="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kern w:val="0"/>
              </w:rPr>
              <w:t>模块四：运营管理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77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管理课程：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养老服务机构风险管理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养老服务机构市场营销与品牌价值提升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养老服务机构文化建设与团队建设</w:t>
            </w:r>
          </w:p>
        </w:tc>
        <w:tc>
          <w:tcPr>
            <w:tcW w:w="51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</w:rPr>
              <w:t>实务课程：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老年评估与特殊护理服务管理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老年“身、心、灵、社”全方位健康管理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老年运动与膳食服务管理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【</w:t>
      </w: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开课计划</w:t>
      </w: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】</w:t>
      </w:r>
      <w:r>
        <w:rPr>
          <w:rFonts w:hint="eastAsia" w:ascii="微软雅黑" w:hAnsi="微软雅黑" w:eastAsia="微软雅黑" w:cs="宋体"/>
          <w:bCs/>
          <w:color w:val="C00000"/>
          <w:kern w:val="0"/>
          <w:sz w:val="24"/>
          <w:szCs w:val="28"/>
        </w:rPr>
        <w:t>（每两个月开课一次，滚动开班）</w:t>
      </w:r>
    </w:p>
    <w:tbl>
      <w:tblPr>
        <w:tblStyle w:val="8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shd w:val="clear" w:color="auto" w:fill="48000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28"/>
              </w:rPr>
              <w:t>课程模块</w:t>
            </w:r>
          </w:p>
        </w:tc>
        <w:tc>
          <w:tcPr>
            <w:tcW w:w="5103" w:type="dxa"/>
            <w:shd w:val="clear" w:color="auto" w:fill="48000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28"/>
              </w:rPr>
              <w:t>计划开课时间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社区居家模块</w:t>
            </w:r>
          </w:p>
        </w:tc>
        <w:tc>
          <w:tcPr>
            <w:tcW w:w="51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2023年05月26日~28日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运营管理模块</w:t>
            </w:r>
          </w:p>
        </w:tc>
        <w:tc>
          <w:tcPr>
            <w:tcW w:w="51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2023年07月21日~23日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康养社区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模块</w:t>
            </w:r>
          </w:p>
        </w:tc>
        <w:tc>
          <w:tcPr>
            <w:tcW w:w="51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2023年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月2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日~2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医养结合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模块</w:t>
            </w:r>
          </w:p>
        </w:tc>
        <w:tc>
          <w:tcPr>
            <w:tcW w:w="510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 w:cs="宋体"/>
                <w:bCs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2023年1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月1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日~1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【</w:t>
      </w: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教学安排</w:t>
      </w: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】</w:t>
      </w:r>
    </w:p>
    <w:p>
      <w:pPr>
        <w:widowControl/>
        <w:numPr>
          <w:ilvl w:val="0"/>
          <w:numId w:val="4"/>
        </w:numPr>
        <w:tabs>
          <w:tab w:val="left" w:pos="284"/>
          <w:tab w:val="clear" w:pos="720"/>
        </w:tabs>
        <w:spacing w:line="420" w:lineRule="atLeast"/>
        <w:ind w:left="0" w:firstLine="0"/>
        <w:rPr>
          <w:rFonts w:ascii="Microsoft YaHei UI" w:hAnsi="Microsoft YaHei UI" w:eastAsia="Microsoft YaHei UI" w:cs="宋体"/>
          <w:color w:val="333333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</w:rPr>
        <w:t>学     制：</w:t>
      </w:r>
      <w:r>
        <w:rPr>
          <w:rFonts w:hint="eastAsia" w:ascii="微软雅黑" w:hAnsi="微软雅黑" w:eastAsia="微软雅黑" w:cs="宋体"/>
          <w:color w:val="000000"/>
          <w:kern w:val="0"/>
        </w:rPr>
        <w:t>一年，包含四个专题课程，共4次，每次2-3天；</w:t>
      </w:r>
    </w:p>
    <w:p>
      <w:pPr>
        <w:widowControl/>
        <w:numPr>
          <w:ilvl w:val="0"/>
          <w:numId w:val="4"/>
        </w:numPr>
        <w:tabs>
          <w:tab w:val="left" w:pos="284"/>
          <w:tab w:val="clear" w:pos="720"/>
        </w:tabs>
        <w:spacing w:line="420" w:lineRule="atLeast"/>
        <w:ind w:left="0" w:firstLine="0"/>
        <w:rPr>
          <w:rFonts w:ascii="Microsoft YaHei UI" w:hAnsi="Microsoft YaHei UI" w:eastAsia="Microsoft YaHei UI" w:cs="宋体"/>
          <w:color w:val="333333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</w:rPr>
        <w:t>班级规模</w:t>
      </w:r>
      <w:r>
        <w:rPr>
          <w:rFonts w:hint="eastAsia" w:ascii="微软雅黑" w:hAnsi="微软雅黑" w:eastAsia="微软雅黑" w:cs="宋体"/>
          <w:color w:val="000000"/>
          <w:kern w:val="0"/>
        </w:rPr>
        <w:t>：小班教学，每班次限招35人。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【</w:t>
      </w: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学习证书</w:t>
      </w: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】</w:t>
      </w:r>
    </w:p>
    <w:p>
      <w:pPr>
        <w:adjustRightInd w:val="0"/>
        <w:snapToGrid w:val="0"/>
        <w:spacing w:after="156" w:afterLines="50" w:line="240" w:lineRule="auto"/>
        <w:ind w:left="-283" w:leftChars="-135" w:firstLine="344" w:firstLineChars="164"/>
        <w:rPr>
          <w:rFonts w:ascii="微软雅黑" w:hAnsi="微软雅黑" w:eastAsia="微软雅黑" w:cs="宋体"/>
          <w:b/>
          <w:color w:val="000000"/>
          <w:sz w:val="40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4"/>
        </w:rPr>
        <w:t>修完全部课程且成绩合格者，颁发“中国老龄产业创新发展与资本运营总裁研修班”结业证书和纪念桌牌。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【研修费用】</w:t>
      </w:r>
    </w:p>
    <w:p>
      <w:pPr>
        <w:pStyle w:val="16"/>
        <w:adjustRightInd w:val="0"/>
        <w:snapToGrid w:val="0"/>
        <w:spacing w:line="300" w:lineRule="auto"/>
        <w:ind w:firstLine="0" w:firstLineChars="0"/>
        <w:rPr>
          <w:rFonts w:ascii="微软雅黑" w:hAnsi="微软雅黑" w:eastAsia="微软雅黑" w:cs="宋体"/>
          <w:color w:val="000000"/>
          <w:kern w:val="0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4"/>
        </w:rPr>
        <w:t>全年学费：</w:t>
      </w:r>
      <w:r>
        <w:rPr>
          <w:rFonts w:hint="eastAsia" w:ascii="微软雅黑" w:hAnsi="微软雅黑" w:eastAsia="微软雅黑" w:cs="宋体"/>
          <w:b/>
          <w:kern w:val="0"/>
          <w:szCs w:val="24"/>
        </w:rPr>
        <w:t>23500元/人（报名学习全部课程者，可免费参加复训）</w:t>
      </w:r>
      <w:r>
        <w:rPr>
          <w:rFonts w:hint="eastAsia" w:ascii="微软雅黑" w:hAnsi="微软雅黑" w:eastAsia="微软雅黑" w:cs="宋体"/>
          <w:color w:val="000000"/>
          <w:kern w:val="0"/>
          <w:szCs w:val="24"/>
        </w:rPr>
        <w:t>，每个模块学费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2"/>
          <w:szCs w:val="24"/>
        </w:rPr>
        <w:t>6800元/人</w:t>
      </w:r>
      <w:r>
        <w:rPr>
          <w:rFonts w:hint="eastAsia" w:ascii="微软雅黑" w:hAnsi="微软雅黑" w:eastAsia="微软雅黑" w:cs="宋体"/>
          <w:color w:val="000000"/>
          <w:kern w:val="0"/>
          <w:szCs w:val="24"/>
        </w:rPr>
        <w:t>；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460" w:lineRule="exact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【</w:t>
      </w: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部分已授课师资</w:t>
      </w:r>
      <w:r>
        <w:rPr>
          <w:rFonts w:hint="eastAsia" w:ascii="微软雅黑" w:hAnsi="微软雅黑" w:eastAsia="微软雅黑" w:cs="宋体"/>
          <w:bCs/>
          <w:color w:val="943634"/>
          <w:kern w:val="0"/>
          <w:sz w:val="24"/>
          <w:szCs w:val="28"/>
        </w:rPr>
        <w:t>】（排名不分先后）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甄炳亮：</w:t>
      </w:r>
      <w:r>
        <w:rPr>
          <w:rFonts w:ascii="微软雅黑" w:hAnsi="微软雅黑" w:eastAsia="微软雅黑" w:cs="宋体"/>
          <w:kern w:val="0"/>
          <w:sz w:val="24"/>
          <w:szCs w:val="24"/>
        </w:rPr>
        <w:t>民政部社会福利中心党委书记、副主任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吴玉韶：</w:t>
      </w:r>
      <w:r>
        <w:rPr>
          <w:rFonts w:ascii="微软雅黑" w:hAnsi="微软雅黑" w:eastAsia="微软雅黑" w:cs="宋体"/>
          <w:kern w:val="0"/>
          <w:sz w:val="24"/>
          <w:szCs w:val="24"/>
        </w:rPr>
        <w:t>全国老龄办党组成员、中国老龄老龄产业协会副会长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党俊武：</w:t>
      </w:r>
      <w:r>
        <w:rPr>
          <w:rFonts w:ascii="微软雅黑" w:hAnsi="微软雅黑" w:eastAsia="微软雅黑" w:cs="宋体"/>
          <w:kern w:val="0"/>
          <w:sz w:val="24"/>
          <w:szCs w:val="24"/>
        </w:rPr>
        <w:t>中国老龄科学研究中心副主任、全国老龄办科研中心原副主任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曲晓杰：</w:t>
      </w:r>
      <w:r>
        <w:rPr>
          <w:rFonts w:ascii="微软雅黑" w:hAnsi="微软雅黑" w:eastAsia="微软雅黑" w:cs="宋体"/>
          <w:kern w:val="0"/>
          <w:sz w:val="24"/>
          <w:szCs w:val="24"/>
        </w:rPr>
        <w:t>工信部电子信息司消费电子处处长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张俊华：</w:t>
      </w:r>
      <w:r>
        <w:rPr>
          <w:rFonts w:ascii="微软雅黑" w:hAnsi="微软雅黑" w:eastAsia="微软雅黑" w:cs="宋体"/>
          <w:kern w:val="0"/>
          <w:sz w:val="24"/>
          <w:szCs w:val="24"/>
        </w:rPr>
        <w:t>国家卫健委人才交流中心副主任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郝晓宁：</w:t>
      </w:r>
      <w:r>
        <w:rPr>
          <w:rFonts w:ascii="微软雅黑" w:hAnsi="微软雅黑" w:eastAsia="微软雅黑" w:cs="宋体"/>
          <w:kern w:val="0"/>
          <w:sz w:val="24"/>
          <w:szCs w:val="24"/>
        </w:rPr>
        <w:t>卫健委卫生发展研究中心公共卫生与风险研究室主任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许凌云：</w:t>
      </w:r>
      <w:r>
        <w:rPr>
          <w:rFonts w:ascii="微软雅黑" w:hAnsi="微软雅黑" w:eastAsia="微软雅黑" w:cs="宋体"/>
          <w:kern w:val="0"/>
          <w:sz w:val="24"/>
          <w:szCs w:val="24"/>
        </w:rPr>
        <w:t>复星康养集团星健控股执行总裁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张孟春</w:t>
      </w:r>
      <w:r>
        <w:rPr>
          <w:rFonts w:ascii="微软雅黑" w:hAnsi="微软雅黑" w:eastAsia="微软雅黑" w:cs="宋体"/>
          <w:kern w:val="0"/>
          <w:sz w:val="24"/>
          <w:szCs w:val="24"/>
        </w:rPr>
        <w:t>：厚朴投资副总裁、首厚控股公司总经理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陈林海</w:t>
      </w:r>
      <w:r>
        <w:rPr>
          <w:rFonts w:ascii="微软雅黑" w:hAnsi="微软雅黑" w:eastAsia="微软雅黑" w:cs="宋体"/>
          <w:kern w:val="0"/>
          <w:sz w:val="24"/>
          <w:szCs w:val="24"/>
        </w:rPr>
        <w:t>：中国医院协会民营医院管理分会副秘书长、北京天海安龙健康管理公司总裁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丁  勇</w:t>
      </w:r>
      <w:r>
        <w:rPr>
          <w:rFonts w:ascii="微软雅黑" w:hAnsi="微软雅黑" w:eastAsia="微软雅黑" w:cs="宋体"/>
          <w:kern w:val="0"/>
          <w:sz w:val="24"/>
          <w:szCs w:val="24"/>
        </w:rPr>
        <w:t>：全国老龄工作委员会信息化专家、上海“爱照护”首席执行官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管轶群</w:t>
      </w:r>
      <w:r>
        <w:rPr>
          <w:rFonts w:ascii="微软雅黑" w:hAnsi="微软雅黑" w:eastAsia="微软雅黑" w:cs="宋体"/>
          <w:kern w:val="0"/>
          <w:sz w:val="24"/>
          <w:szCs w:val="24"/>
        </w:rPr>
        <w:t>：栖城GN栖城董事合伙人/设计总监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张  婧</w:t>
      </w:r>
      <w:r>
        <w:rPr>
          <w:rFonts w:ascii="微软雅黑" w:hAnsi="微软雅黑" w:eastAsia="微软雅黑" w:cs="宋体"/>
          <w:kern w:val="0"/>
          <w:sz w:val="24"/>
          <w:szCs w:val="24"/>
        </w:rPr>
        <w:t>：中国健康产业集团养老产业发展部总经理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周素娟</w:t>
      </w:r>
      <w:r>
        <w:rPr>
          <w:rFonts w:ascii="微软雅黑" w:hAnsi="微软雅黑" w:eastAsia="微软雅黑" w:cs="宋体"/>
          <w:kern w:val="0"/>
          <w:sz w:val="24"/>
          <w:szCs w:val="24"/>
        </w:rPr>
        <w:t>：燕达金色年华健康养护中心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原</w:t>
      </w:r>
      <w:r>
        <w:rPr>
          <w:rFonts w:ascii="微软雅黑" w:hAnsi="微软雅黑" w:eastAsia="微软雅黑" w:cs="宋体"/>
          <w:kern w:val="0"/>
          <w:sz w:val="24"/>
          <w:szCs w:val="24"/>
        </w:rPr>
        <w:t>总经理, 泰康之家燕园原副总经理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桑予群</w:t>
      </w:r>
      <w:r>
        <w:rPr>
          <w:rFonts w:ascii="微软雅黑" w:hAnsi="微软雅黑" w:eastAsia="微软雅黑" w:cs="宋体"/>
          <w:kern w:val="0"/>
          <w:sz w:val="24"/>
          <w:szCs w:val="24"/>
        </w:rPr>
        <w:t> ：台北市私立貴族老人长期照顾中心院长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kern w:val="0"/>
          <w:sz w:val="24"/>
          <w:szCs w:val="24"/>
        </w:rPr>
        <w:t>莫思杰</w:t>
      </w:r>
      <w:r>
        <w:rPr>
          <w:rFonts w:ascii="微软雅黑" w:hAnsi="微软雅黑" w:eastAsia="微软雅黑" w:cs="宋体"/>
          <w:kern w:val="0"/>
          <w:sz w:val="24"/>
          <w:szCs w:val="24"/>
        </w:rPr>
        <w:t>：香港赛马会深圳复康会颐康院 院长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 w:cs="宋体"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bCs/>
          <w:color w:val="943634"/>
          <w:kern w:val="0"/>
          <w:sz w:val="24"/>
          <w:szCs w:val="28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bCs/>
          <w:color w:val="943634"/>
          <w:kern w:val="0"/>
          <w:sz w:val="24"/>
          <w:szCs w:val="28"/>
        </w:rPr>
      </w:pPr>
    </w:p>
    <w:p>
      <w:pPr>
        <w:widowControl/>
        <w:spacing w:line="240" w:lineRule="auto"/>
        <w:jc w:val="left"/>
        <w:rPr>
          <w:rFonts w:ascii="微软雅黑" w:hAnsi="微软雅黑" w:eastAsia="微软雅黑" w:cs="宋体"/>
          <w:b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943634"/>
          <w:kern w:val="0"/>
          <w:sz w:val="24"/>
          <w:szCs w:val="28"/>
        </w:rPr>
        <w:t>【燕园银龄商学院简介】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/>
          <w:bCs/>
          <w:color w:val="943634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燕园银龄商学院传承百年名校优秀基因，在融合中外文化精髓的基础上，于2015年由“北京大学燕园老龄产业总裁培训项目组”发展壮大而成。作为我国最早从事老龄产业高端人才培养的团队之一，燕园银龄商学院自组建时起，就受到了国家相关部门和机构组织的高度关注与大力支持。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学院以培养康养产业紧缺型人才为己任，组建北京大学康养产业研究课题组，研发康养产业中高端人才培养模型及课程体系，构建“教学研交互式发展”模式，为养老行业培养了一批领军人物，为康养企业输送了一批实用型管理人才，为行业的发展提供了一系列智力成果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8"/>
        </w:rPr>
        <w:t>部分学员代表：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 xml:space="preserve">中国健康管理协会健康养老分会副会长        复星康养星健控股集团执行总裁 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中国健康养老集团有限公司养老产业总经理</w:t>
      </w:r>
      <w:r>
        <w:rPr>
          <w:rFonts w:ascii="微软雅黑" w:hAnsi="微软雅黑" w:eastAsia="微软雅黑" w:cs="宋体"/>
          <w:bCs/>
          <w:kern w:val="0"/>
          <w:szCs w:val="28"/>
        </w:rPr>
        <w:t xml:space="preserve"> </w:t>
      </w:r>
      <w:r>
        <w:rPr>
          <w:rFonts w:hint="eastAsia" w:ascii="微软雅黑" w:hAnsi="微软雅黑" w:eastAsia="微软雅黑" w:cs="宋体"/>
          <w:bCs/>
          <w:kern w:val="0"/>
          <w:szCs w:val="28"/>
        </w:rPr>
        <w:t xml:space="preserve">   山西省老龄产业协会副会长兼秘书长  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燕达金色年华健康养护中心总经理            颐家（上海）医疗养老服务有限公司</w:t>
      </w:r>
      <w:r>
        <w:rPr>
          <w:rFonts w:ascii="微软雅黑" w:hAnsi="微软雅黑" w:eastAsia="微软雅黑" w:cs="宋体"/>
          <w:bCs/>
          <w:kern w:val="0"/>
          <w:szCs w:val="28"/>
        </w:rPr>
        <w:t xml:space="preserve"> </w:t>
      </w:r>
      <w:r>
        <w:rPr>
          <w:rFonts w:hint="eastAsia" w:ascii="微软雅黑" w:hAnsi="微软雅黑" w:eastAsia="微软雅黑" w:cs="宋体"/>
          <w:bCs/>
          <w:kern w:val="0"/>
          <w:szCs w:val="28"/>
        </w:rPr>
        <w:t>高级副总裁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万谦养老运营管理股份有限公司</w:t>
      </w:r>
      <w:r>
        <w:rPr>
          <w:rFonts w:ascii="微软雅黑" w:hAnsi="微软雅黑" w:eastAsia="微软雅黑" w:cs="宋体"/>
          <w:bCs/>
          <w:kern w:val="0"/>
          <w:szCs w:val="28"/>
        </w:rPr>
        <w:t xml:space="preserve"> </w:t>
      </w:r>
      <w:r>
        <w:rPr>
          <w:rFonts w:hint="eastAsia" w:ascii="微软雅黑" w:hAnsi="微软雅黑" w:eastAsia="微软雅黑" w:cs="宋体"/>
          <w:bCs/>
          <w:kern w:val="0"/>
          <w:szCs w:val="28"/>
        </w:rPr>
        <w:t>副总裁       中原地产北京顾问中心（昱言养老）总经理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上海佰仁健康产业有限公司总经理助理        北京天恒康健养老投资有限公司副总经理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深圳特发集团董事长              华夏幸福基业股份有限公司医疗事业部医院管理中心</w:t>
      </w:r>
      <w:r>
        <w:rPr>
          <w:rFonts w:ascii="微软雅黑" w:hAnsi="微软雅黑" w:eastAsia="微软雅黑" w:cs="宋体"/>
          <w:bCs/>
          <w:kern w:val="0"/>
          <w:szCs w:val="28"/>
        </w:rPr>
        <w:t xml:space="preserve"> </w:t>
      </w:r>
      <w:r>
        <w:rPr>
          <w:rFonts w:hint="eastAsia" w:ascii="微软雅黑" w:hAnsi="微软雅黑" w:eastAsia="微软雅黑" w:cs="宋体"/>
          <w:bCs/>
          <w:kern w:val="0"/>
          <w:szCs w:val="28"/>
        </w:rPr>
        <w:t>总经理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hint="eastAsia" w:ascii="微软雅黑" w:hAnsi="微软雅黑" w:eastAsia="微软雅黑" w:cs="宋体"/>
          <w:bCs/>
          <w:kern w:val="0"/>
          <w:szCs w:val="28"/>
        </w:rPr>
        <w:t>。。。。。。。。。。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Cs/>
          <w:kern w:val="0"/>
          <w:szCs w:val="28"/>
        </w:rPr>
      </w:pPr>
      <w:r>
        <w:rPr>
          <w:rFonts w:ascii="微软雅黑" w:hAnsi="微软雅黑" w:eastAsia="微软雅黑" w:cs="宋体"/>
          <w:bCs/>
          <w:kern w:val="0"/>
          <w:szCs w:val="28"/>
        </w:rPr>
        <w:drawing>
          <wp:inline distT="0" distB="0" distL="0" distR="0">
            <wp:extent cx="1495425" cy="933450"/>
            <wp:effectExtent l="19050" t="0" r="9525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2157" t="36188" r="2347" b="-72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bCs/>
          <w:kern w:val="0"/>
          <w:szCs w:val="28"/>
        </w:rPr>
        <w:drawing>
          <wp:inline distT="0" distB="0" distL="0" distR="0">
            <wp:extent cx="1590675" cy="933450"/>
            <wp:effectExtent l="19050" t="0" r="9525" b="0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668" r="1495" b="1145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bCs/>
          <w:kern w:val="0"/>
          <w:szCs w:val="28"/>
        </w:rPr>
        <w:drawing>
          <wp:inline distT="0" distB="0" distL="0" distR="0">
            <wp:extent cx="1590675" cy="933450"/>
            <wp:effectExtent l="19050" t="0" r="9525" b="0"/>
            <wp:docPr id="25" name="图片 8" descr="E:\李涵之\联想备份\王伟新工作\项目考察\2017游学\2017年9月欧洲\照片\项目5\IMG_20170928_13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 descr="E:\李涵之\联想备份\王伟新工作\项目考察\2017游学\2017年9月欧洲\照片\项目5\IMG_20170928_1304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259" r="6973" b="6354"/>
                    <a:stretch>
                      <a:fillRect/>
                    </a:stretch>
                  </pic:blipFill>
                  <pic:spPr>
                    <a:xfrm>
                      <a:off x="0" y="0"/>
                      <a:ext cx="1591450" cy="9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bCs/>
          <w:kern w:val="0"/>
          <w:szCs w:val="28"/>
        </w:rPr>
        <w:drawing>
          <wp:inline distT="0" distB="0" distL="0" distR="0">
            <wp:extent cx="1419225" cy="933450"/>
            <wp:effectExtent l="19050" t="0" r="9525" b="0"/>
            <wp:docPr id="29" name="图片 1" descr="E:\老龄项目\内训、咨询、合作\课题组--北大国经所\康养产业经济课题\开题\康养产业经济课题开题20190513\照片-20190526北大康养产业研讨会\3L1A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 descr="E:\老龄项目\内训、咨询、合作\课题组--北大国经所\康养产业经济课题\开题\康养产业经济课题开题20190513\照片-20190526北大康养产业研讨会\3L1A82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000" cy="93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rPr>
          <w:rFonts w:ascii="微软雅黑" w:hAnsi="微软雅黑" w:eastAsia="微软雅黑"/>
        </w:rPr>
      </w:pPr>
      <w:bookmarkStart w:id="0" w:name="_GoBack"/>
      <w:bookmarkEnd w:id="0"/>
    </w:p>
    <w:sectPr>
      <w:headerReference r:id="rId6" w:type="first"/>
      <w:headerReference r:id="rId5" w:type="default"/>
      <w:footerReference r:id="rId7" w:type="default"/>
      <w:pgSz w:w="11906" w:h="16838"/>
      <w:pgMar w:top="1276" w:right="992" w:bottom="1440" w:left="1134" w:header="624" w:footer="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-686435</wp:posOffset>
          </wp:positionV>
          <wp:extent cx="7567295" cy="812800"/>
          <wp:effectExtent l="19050" t="0" r="0" b="0"/>
          <wp:wrapSquare wrapText="bothSides"/>
          <wp:docPr id="12" name="图片 12" descr="C:\Users\cathy\Desktop\燕园银龄封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C:\Users\cathy\Desktop\燕园银龄封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"/>
                  <a:stretch>
                    <a:fillRect/>
                  </a:stretch>
                </pic:blipFill>
                <pic:spPr>
                  <a:xfrm>
                    <a:off x="0" y="0"/>
                    <a:ext cx="756729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1637665" cy="448310"/>
          <wp:effectExtent l="0" t="0" r="635" b="8890"/>
          <wp:docPr id="1" name="图片 1" descr="C:\李涵之\王伟工作\王伟新文件\燕园银龄介绍\燕园银龄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李涵之\王伟工作\王伟新文件\燕园银龄介绍\燕园银龄LOGO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30" cy="44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ascii="宋体" w:hAnsi="宋体" w:cs="宋体"/>
        <w:sz w:val="24"/>
        <w:szCs w:val="24"/>
      </w:rPr>
      <w:drawing>
        <wp:inline distT="0" distB="0" distL="0" distR="0">
          <wp:extent cx="1123950" cy="387350"/>
          <wp:effectExtent l="0" t="0" r="0" b="0"/>
          <wp:docPr id="13" name="图片 13" descr="$LZ18S)]04~KS1X~B4HX_$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$LZ18S)]04~KS1X~B4HX_$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87350"/>
                  </a:xfrm>
                  <a:custGeom>
                    <a:avLst/>
                    <a:gdLst/>
                    <a:ahLst/>
                    <a:cxnLst>
                      <a:cxn ang="0">
                        <a:pos x="r" y="vc"/>
                      </a:cxn>
                      <a:cxn ang="5400000">
                        <a:pos x="hc" y="b"/>
                      </a:cxn>
                      <a:cxn ang="10800000">
                        <a:pos x="l" y="vc"/>
                      </a:cxn>
                      <a:cxn ang="16200000">
                        <a:pos x="hc" y="t"/>
                      </a:cxn>
                    </a:cxnLst>
                    <a:rect l="0" t="0" r="r" b="b"/>
                    <a:pathLst>
                      <a:path w="21600" h="21600">
                        <a:moveTo>
                          <a:pt x="0" y="0"/>
                        </a:moveTo>
                        <a:lnTo>
                          <a:pt x="0" y="21600"/>
                        </a:lnTo>
                        <a:lnTo>
                          <a:pt x="21600" y="21600"/>
                        </a:lnTo>
                        <a:lnTo>
                          <a:pt x="21600" y="0"/>
                        </a:lnTo>
                        <a:close/>
                      </a:path>
                    </a:pathLst>
                  </a:cu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C4C85"/>
    <w:multiLevelType w:val="multilevel"/>
    <w:tmpl w:val="099C4C8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5C0260"/>
    <w:multiLevelType w:val="multilevel"/>
    <w:tmpl w:val="1D5C026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  <w:color w:val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AEB05F8"/>
    <w:multiLevelType w:val="multilevel"/>
    <w:tmpl w:val="3AEB05F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7730638"/>
    <w:multiLevelType w:val="multilevel"/>
    <w:tmpl w:val="67730638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auto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00CB47BF"/>
    <w:rsid w:val="000051CF"/>
    <w:rsid w:val="000053D5"/>
    <w:rsid w:val="0001474E"/>
    <w:rsid w:val="0004321B"/>
    <w:rsid w:val="00044688"/>
    <w:rsid w:val="00045893"/>
    <w:rsid w:val="00051120"/>
    <w:rsid w:val="00053CC0"/>
    <w:rsid w:val="0006734D"/>
    <w:rsid w:val="00067DBD"/>
    <w:rsid w:val="000739C9"/>
    <w:rsid w:val="00084022"/>
    <w:rsid w:val="00092B24"/>
    <w:rsid w:val="000B0CDB"/>
    <w:rsid w:val="000C0E12"/>
    <w:rsid w:val="000E0477"/>
    <w:rsid w:val="000F3557"/>
    <w:rsid w:val="00110C13"/>
    <w:rsid w:val="00126E16"/>
    <w:rsid w:val="0014095D"/>
    <w:rsid w:val="00146E56"/>
    <w:rsid w:val="0015792A"/>
    <w:rsid w:val="00162A0B"/>
    <w:rsid w:val="001844AC"/>
    <w:rsid w:val="001869BA"/>
    <w:rsid w:val="00197400"/>
    <w:rsid w:val="001A0244"/>
    <w:rsid w:val="001B3DF6"/>
    <w:rsid w:val="001B4A16"/>
    <w:rsid w:val="001B7CB5"/>
    <w:rsid w:val="001D1A8C"/>
    <w:rsid w:val="001D1FA0"/>
    <w:rsid w:val="001F7A87"/>
    <w:rsid w:val="001F7D07"/>
    <w:rsid w:val="00202FAD"/>
    <w:rsid w:val="0020655E"/>
    <w:rsid w:val="0021683B"/>
    <w:rsid w:val="00217EBF"/>
    <w:rsid w:val="002220DC"/>
    <w:rsid w:val="002221C2"/>
    <w:rsid w:val="0022309F"/>
    <w:rsid w:val="002269C3"/>
    <w:rsid w:val="00231882"/>
    <w:rsid w:val="002468B2"/>
    <w:rsid w:val="00252386"/>
    <w:rsid w:val="002623C6"/>
    <w:rsid w:val="002656A3"/>
    <w:rsid w:val="0027002E"/>
    <w:rsid w:val="00284DCD"/>
    <w:rsid w:val="002A01E5"/>
    <w:rsid w:val="002A1DD6"/>
    <w:rsid w:val="002A402A"/>
    <w:rsid w:val="002D0D5A"/>
    <w:rsid w:val="002D7449"/>
    <w:rsid w:val="002E2552"/>
    <w:rsid w:val="002F02A9"/>
    <w:rsid w:val="002F0D37"/>
    <w:rsid w:val="002F358F"/>
    <w:rsid w:val="00300897"/>
    <w:rsid w:val="003011C4"/>
    <w:rsid w:val="00302531"/>
    <w:rsid w:val="003161DE"/>
    <w:rsid w:val="00326D02"/>
    <w:rsid w:val="0033241D"/>
    <w:rsid w:val="0034225E"/>
    <w:rsid w:val="00347F21"/>
    <w:rsid w:val="00355819"/>
    <w:rsid w:val="003622C5"/>
    <w:rsid w:val="003723EF"/>
    <w:rsid w:val="00382040"/>
    <w:rsid w:val="00384A66"/>
    <w:rsid w:val="00394B61"/>
    <w:rsid w:val="003B4BE5"/>
    <w:rsid w:val="003C3C83"/>
    <w:rsid w:val="003C4D5E"/>
    <w:rsid w:val="003C7C63"/>
    <w:rsid w:val="003D5936"/>
    <w:rsid w:val="003F28F5"/>
    <w:rsid w:val="00402830"/>
    <w:rsid w:val="004343EC"/>
    <w:rsid w:val="00441845"/>
    <w:rsid w:val="004421A7"/>
    <w:rsid w:val="004429F0"/>
    <w:rsid w:val="004519DA"/>
    <w:rsid w:val="00455A72"/>
    <w:rsid w:val="00464209"/>
    <w:rsid w:val="00465861"/>
    <w:rsid w:val="00473FBA"/>
    <w:rsid w:val="0047675F"/>
    <w:rsid w:val="00476AD6"/>
    <w:rsid w:val="00486B55"/>
    <w:rsid w:val="00493544"/>
    <w:rsid w:val="004C4F72"/>
    <w:rsid w:val="004D374B"/>
    <w:rsid w:val="004D4643"/>
    <w:rsid w:val="0050041C"/>
    <w:rsid w:val="00505D43"/>
    <w:rsid w:val="0052636A"/>
    <w:rsid w:val="00526C95"/>
    <w:rsid w:val="00530026"/>
    <w:rsid w:val="00534350"/>
    <w:rsid w:val="00537DAF"/>
    <w:rsid w:val="00537F18"/>
    <w:rsid w:val="005418C1"/>
    <w:rsid w:val="0055349E"/>
    <w:rsid w:val="005627CC"/>
    <w:rsid w:val="0057678C"/>
    <w:rsid w:val="005772AF"/>
    <w:rsid w:val="005801A8"/>
    <w:rsid w:val="005816B0"/>
    <w:rsid w:val="00595997"/>
    <w:rsid w:val="005A1DA6"/>
    <w:rsid w:val="005B58B1"/>
    <w:rsid w:val="005D0868"/>
    <w:rsid w:val="005E7EBD"/>
    <w:rsid w:val="005F591C"/>
    <w:rsid w:val="006017E7"/>
    <w:rsid w:val="0061127A"/>
    <w:rsid w:val="00611C4B"/>
    <w:rsid w:val="00633987"/>
    <w:rsid w:val="006478C7"/>
    <w:rsid w:val="00650D7E"/>
    <w:rsid w:val="00650FC0"/>
    <w:rsid w:val="0065441C"/>
    <w:rsid w:val="00655BEE"/>
    <w:rsid w:val="0066075C"/>
    <w:rsid w:val="00661C15"/>
    <w:rsid w:val="00667976"/>
    <w:rsid w:val="006712FF"/>
    <w:rsid w:val="0067355D"/>
    <w:rsid w:val="0068148D"/>
    <w:rsid w:val="0068366E"/>
    <w:rsid w:val="006870AD"/>
    <w:rsid w:val="0069095D"/>
    <w:rsid w:val="00690AC5"/>
    <w:rsid w:val="006A09FD"/>
    <w:rsid w:val="006A35FA"/>
    <w:rsid w:val="006A3734"/>
    <w:rsid w:val="006A3E0F"/>
    <w:rsid w:val="006C290B"/>
    <w:rsid w:val="006D1A01"/>
    <w:rsid w:val="006D41D9"/>
    <w:rsid w:val="006D7B41"/>
    <w:rsid w:val="006E391C"/>
    <w:rsid w:val="006E7095"/>
    <w:rsid w:val="00700796"/>
    <w:rsid w:val="00702836"/>
    <w:rsid w:val="00705262"/>
    <w:rsid w:val="00705EA3"/>
    <w:rsid w:val="007135ED"/>
    <w:rsid w:val="00716842"/>
    <w:rsid w:val="007201FD"/>
    <w:rsid w:val="00725211"/>
    <w:rsid w:val="00736176"/>
    <w:rsid w:val="00744EC9"/>
    <w:rsid w:val="0075236B"/>
    <w:rsid w:val="00756636"/>
    <w:rsid w:val="0076128F"/>
    <w:rsid w:val="00761402"/>
    <w:rsid w:val="00772C5B"/>
    <w:rsid w:val="0078177A"/>
    <w:rsid w:val="0078289F"/>
    <w:rsid w:val="007B36A8"/>
    <w:rsid w:val="007B4F0E"/>
    <w:rsid w:val="007B7E5E"/>
    <w:rsid w:val="007C2AED"/>
    <w:rsid w:val="007C3365"/>
    <w:rsid w:val="007E393E"/>
    <w:rsid w:val="007F5199"/>
    <w:rsid w:val="00812E9B"/>
    <w:rsid w:val="008202D9"/>
    <w:rsid w:val="008208DD"/>
    <w:rsid w:val="00821316"/>
    <w:rsid w:val="00827974"/>
    <w:rsid w:val="00844387"/>
    <w:rsid w:val="00847ACB"/>
    <w:rsid w:val="00852144"/>
    <w:rsid w:val="008575BA"/>
    <w:rsid w:val="008744AE"/>
    <w:rsid w:val="00882F05"/>
    <w:rsid w:val="008B29E1"/>
    <w:rsid w:val="008B2EB8"/>
    <w:rsid w:val="008C1935"/>
    <w:rsid w:val="008D6FFA"/>
    <w:rsid w:val="00911CC1"/>
    <w:rsid w:val="009123E6"/>
    <w:rsid w:val="00920A3F"/>
    <w:rsid w:val="00930F96"/>
    <w:rsid w:val="00933E35"/>
    <w:rsid w:val="00936755"/>
    <w:rsid w:val="00936D5C"/>
    <w:rsid w:val="009374D4"/>
    <w:rsid w:val="00940E4C"/>
    <w:rsid w:val="00940E89"/>
    <w:rsid w:val="00941704"/>
    <w:rsid w:val="00952B9A"/>
    <w:rsid w:val="0096772D"/>
    <w:rsid w:val="0097515A"/>
    <w:rsid w:val="0098427C"/>
    <w:rsid w:val="00994764"/>
    <w:rsid w:val="009950F8"/>
    <w:rsid w:val="009A2104"/>
    <w:rsid w:val="009B3122"/>
    <w:rsid w:val="009B358B"/>
    <w:rsid w:val="009C182E"/>
    <w:rsid w:val="009C5110"/>
    <w:rsid w:val="009E44A9"/>
    <w:rsid w:val="009F002D"/>
    <w:rsid w:val="009F259C"/>
    <w:rsid w:val="009F59CF"/>
    <w:rsid w:val="00A12490"/>
    <w:rsid w:val="00A30244"/>
    <w:rsid w:val="00A53612"/>
    <w:rsid w:val="00A55ACA"/>
    <w:rsid w:val="00A66AA9"/>
    <w:rsid w:val="00A811C3"/>
    <w:rsid w:val="00AC0AAC"/>
    <w:rsid w:val="00AE52E8"/>
    <w:rsid w:val="00B050CC"/>
    <w:rsid w:val="00B15012"/>
    <w:rsid w:val="00B3496C"/>
    <w:rsid w:val="00B41E1A"/>
    <w:rsid w:val="00B575D0"/>
    <w:rsid w:val="00B6381C"/>
    <w:rsid w:val="00B659EE"/>
    <w:rsid w:val="00B8079F"/>
    <w:rsid w:val="00B8093C"/>
    <w:rsid w:val="00B91AF7"/>
    <w:rsid w:val="00BA0982"/>
    <w:rsid w:val="00BB1D85"/>
    <w:rsid w:val="00BB65D6"/>
    <w:rsid w:val="00BE00D7"/>
    <w:rsid w:val="00BF5BA2"/>
    <w:rsid w:val="00C03455"/>
    <w:rsid w:val="00C16201"/>
    <w:rsid w:val="00C23D9D"/>
    <w:rsid w:val="00C25531"/>
    <w:rsid w:val="00C51591"/>
    <w:rsid w:val="00C9548B"/>
    <w:rsid w:val="00CB47BF"/>
    <w:rsid w:val="00CC622B"/>
    <w:rsid w:val="00CD2F6D"/>
    <w:rsid w:val="00CD4980"/>
    <w:rsid w:val="00D00F4F"/>
    <w:rsid w:val="00D06853"/>
    <w:rsid w:val="00D13764"/>
    <w:rsid w:val="00D53561"/>
    <w:rsid w:val="00D57912"/>
    <w:rsid w:val="00D735EE"/>
    <w:rsid w:val="00D74FA8"/>
    <w:rsid w:val="00D8173F"/>
    <w:rsid w:val="00D922E3"/>
    <w:rsid w:val="00D931AC"/>
    <w:rsid w:val="00DA4D56"/>
    <w:rsid w:val="00DA525A"/>
    <w:rsid w:val="00DB10EA"/>
    <w:rsid w:val="00DB5D8E"/>
    <w:rsid w:val="00DC465C"/>
    <w:rsid w:val="00DC7C9C"/>
    <w:rsid w:val="00E049DB"/>
    <w:rsid w:val="00E151AB"/>
    <w:rsid w:val="00E22C47"/>
    <w:rsid w:val="00E27B03"/>
    <w:rsid w:val="00E50637"/>
    <w:rsid w:val="00E50924"/>
    <w:rsid w:val="00E57342"/>
    <w:rsid w:val="00E6448F"/>
    <w:rsid w:val="00E674E8"/>
    <w:rsid w:val="00E72356"/>
    <w:rsid w:val="00E94D84"/>
    <w:rsid w:val="00E9700C"/>
    <w:rsid w:val="00EA4CD5"/>
    <w:rsid w:val="00EA7CAC"/>
    <w:rsid w:val="00EE311A"/>
    <w:rsid w:val="00F0266D"/>
    <w:rsid w:val="00F044C6"/>
    <w:rsid w:val="00F330F0"/>
    <w:rsid w:val="00F424C1"/>
    <w:rsid w:val="00F43536"/>
    <w:rsid w:val="00F55D83"/>
    <w:rsid w:val="00F6073D"/>
    <w:rsid w:val="00F62677"/>
    <w:rsid w:val="00F809A0"/>
    <w:rsid w:val="00FD0F45"/>
    <w:rsid w:val="00FE3572"/>
    <w:rsid w:val="15076EE2"/>
    <w:rsid w:val="1700675C"/>
    <w:rsid w:val="1A246465"/>
    <w:rsid w:val="20914128"/>
    <w:rsid w:val="21535882"/>
    <w:rsid w:val="374E388E"/>
    <w:rsid w:val="62035DE7"/>
    <w:rsid w:val="6E9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rFonts w:ascii="Calibri" w:hAnsi="Calibri" w:eastAsia="宋体" w:cs="Times New Roman"/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link w:val="5"/>
    <w:uiPriority w:val="0"/>
    <w:rPr>
      <w:rFonts w:ascii="Arial" w:hAnsi="Arial" w:eastAsia="宋体" w:cs="Times New Roman"/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Arial" w:hAnsi="Arial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Arial" w:hAnsi="Arial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Arial" w:hAnsi="Arial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99CD-21A9-4E9B-9B9F-C25263799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4</Pages>
  <Words>2141</Words>
  <Characters>2190</Characters>
  <Lines>16</Lines>
  <Paragraphs>4</Paragraphs>
  <TotalTime>58</TotalTime>
  <ScaleCrop>false</ScaleCrop>
  <LinksUpToDate>false</LinksUpToDate>
  <CharactersWithSpaces>2261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2023-04-17T04:08:00Z</dcterms:created>
  <dc:creator>cathy</dc:creator>
  <cp:lastModifiedBy>冰冰⊙▽⊙＊</cp:lastModifiedBy>
  <dcterms:modified xsi:type="dcterms:W3CDTF">2023-09-12T07:01:08Z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D8DE46B39A554B478A19295023259109_13</vt:lpwstr>
  </property>
</Properties>
</file>