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7" w:rsidRDefault="0092657E">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6954A7" w:rsidRDefault="0092657E">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私募股权与投资高级课程班</w:t>
      </w:r>
      <w:r w:rsidR="00FB79F9">
        <w:rPr>
          <w:rFonts w:ascii="宋体" w:eastAsia="宋体" w:hAnsi="宋体" w:cs="宋体" w:hint="eastAsia"/>
          <w:b/>
          <w:bCs/>
          <w:color w:val="000000" w:themeColor="text1"/>
          <w:sz w:val="36"/>
          <w:szCs w:val="36"/>
        </w:rPr>
        <w:t>（郑州班）</w:t>
      </w:r>
    </w:p>
    <w:p w:rsidR="00FB79F9" w:rsidRPr="00FB79F9" w:rsidRDefault="00FB79F9">
      <w:pPr>
        <w:spacing w:line="360" w:lineRule="auto"/>
        <w:jc w:val="center"/>
        <w:rPr>
          <w:rFonts w:ascii="宋体" w:eastAsia="宋体" w:hAnsi="宋体" w:cs="宋体"/>
          <w:b/>
          <w:bCs/>
          <w:color w:val="000000" w:themeColor="text1"/>
          <w:sz w:val="36"/>
          <w:szCs w:val="36"/>
        </w:rPr>
      </w:pPr>
    </w:p>
    <w:p w:rsidR="006954A7" w:rsidRDefault="0092657E">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中国社会科学院研究生院直属于国家重要的思想库和智囊团、中国社会科学的最高殿堂——中国社会科学院，是中国人文社会科学研究的最高学府，同时也是我国第一所人文社科类研究生院。社科院研究生院的主要任务是培养人文科学和社会科学各领域的博士和硕士研究生，是全国首批博士和硕士学位授予单位。依托中国社会科学院雄厚的学术和师资力量，社科院研究生院现已发展成为学科门类最为齐全、学位授权规模最为宏大、研究生培养体系最为完整的国内一流、国际知名的人文社会科学高等学府。 在中国管理科学研究院《中国大学评价》课题组公布的《中国大学研究生院评价》报告中，中国社会科学院研究生院入选中国19所一流研究生院，并以经济学（含金融学）、哲学、历史学第一，法学、社会学、文学第二的成绩，当选为人文社会科学领域排名第一的研究生院。 </w:t>
      </w:r>
    </w:p>
    <w:p w:rsidR="006954A7" w:rsidRDefault="0092657E">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二、项目背景</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随着经济的迅猛发展，金融应时而生，同时金融依附于经济生存，并作用于经济的发展。金融经济的飞速发展，为中国政府和企业带来了前所未有的机遇和挑战空间，金融改变了当今世界经济发展速度与企业竞争模式，金融理念和金融工具的有效运用能够促使地方经济健康运行，帮助企业实现跨越式提升。因此，在经济 全球化的大潮之下，把脉国内外经济现状以及未来金融领域的发展新动向、运用金融工具使企业获取持续高速成长，引领地方经济保持较高增长率，探讨企业突破" 资本瓶颈"的法门，研习有中国特色的产融结合之路，是企业高管或地方领导迫切需要关注的问题。</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私募股权与投资"课程是中国社科院研究生院联合国内外众多业界著名专家、学者、上市企业高管、政府相关部门领导等，共同研讨、磋商并结合实践工作中积累的丰富经验，以目前国内外金融经济环境在宏观金融环 境、私募股权、资本运作、投融资、企业上市并购、企业家素养提升等领域面临的问题和实际需求为出发点，以中国社科院权威科研积淀，汇国内外金融底蕴，铸就 金融精英。</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三、项目特色</w:t>
      </w:r>
    </w:p>
    <w:p w:rsidR="006954A7" w:rsidRDefault="0092657E">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1、 课程模式新颖，开拓创新、学习实用相得益彰</w:t>
      </w:r>
    </w:p>
    <w:p w:rsidR="006954A7" w:rsidRDefault="0092657E">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机会与创新汇聚、热点与前沿兼顾、理念与操作结合，让每位学员能够将最新的理论研究成果、实用知识、实践经验和切实可行的解决方案结合在一起，进而独立、全面的分析和处理复杂的问题，帮助学员学以致用，融会贯通。</w:t>
      </w:r>
    </w:p>
    <w:p w:rsidR="006954A7" w:rsidRDefault="0092657E">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2、雄厚师资、智慧碰撞</w:t>
      </w:r>
    </w:p>
    <w:p w:rsidR="006954A7" w:rsidRDefault="0092657E">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科院金融研究所权威教授，国内外热点行业资深专家、金融权威人士联袂授课，聆听道术结合，融会贯通的行业实操经验。帮助管理者刷新发展战略眼界，同时学员可以和专家教授建立联系，为自己答疑解惑，解决实际问题。</w:t>
      </w:r>
    </w:p>
    <w:p w:rsidR="006954A7" w:rsidRDefault="0092657E">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3、答疑解惑，感受智囊无处不在</w:t>
      </w:r>
    </w:p>
    <w:p w:rsidR="006954A7" w:rsidRDefault="0092657E">
      <w:pPr>
        <w:widowControl/>
        <w:spacing w:line="360" w:lineRule="auto"/>
        <w:ind w:firstLineChars="200" w:firstLine="480"/>
        <w:jc w:val="left"/>
        <w:rPr>
          <w:rFonts w:ascii="宋体" w:eastAsia="宋体" w:hAnsi="宋体" w:cs="宋体"/>
          <w:b/>
          <w:bCs/>
          <w:color w:val="000000" w:themeColor="text1"/>
          <w:kern w:val="0"/>
          <w:sz w:val="24"/>
        </w:rPr>
      </w:pPr>
      <w:r>
        <w:rPr>
          <w:rFonts w:ascii="宋体" w:eastAsia="宋体" w:hAnsi="宋体" w:cs="宋体" w:hint="eastAsia"/>
          <w:color w:val="000000" w:themeColor="text1"/>
          <w:kern w:val="0"/>
          <w:sz w:val="24"/>
        </w:rPr>
        <w:t>学员自身疑惑问题、行业难题、感兴趣的热点问题都可以在课前一个月内，以E-mail的形式传真给班主任，以便授课讲师更有针对性的安排调整课程结构，预留时间同学员讨论并解决问题，集体头脑风暴。</w:t>
      </w:r>
    </w:p>
    <w:p w:rsidR="006954A7" w:rsidRDefault="0092657E">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4、精英荟萃、广聚人脉 </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精英学员打造完美班级团队，增进知识的同时，缔结高端人脉。上市企业家高管、权威政府部门领导都可成为你的同窗、朋友，共享优质人脉资源。</w:t>
      </w:r>
    </w:p>
    <w:p w:rsidR="006954A7" w:rsidRDefault="0092657E">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5、教学形式灵活，快乐学习</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课程以知识讲授为主，同时定期辅以班级联谊、项目交流、成功企业参观考察、金融主体沙龙等活动，以周到、创新灵活的授课形式，让您的学习变成轻松愉悦的充电之旅。</w:t>
      </w:r>
    </w:p>
    <w:p w:rsidR="006954A7" w:rsidRDefault="0092657E">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6、学习资料丰富</w:t>
      </w:r>
    </w:p>
    <w:p w:rsidR="006954A7" w:rsidRDefault="0092657E">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培训紧跟课程进度、为学员准备丰富精深的学习书籍，《金融评论》是中国社会科学院金融研究所主办的综合性经济、金融学术刊物，旨在通过优秀研究成果的发表推动经济与金融领域的理论探索，使学员掌握最新的行业科研成果，开拓学员视野。</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四、培养对象</w:t>
      </w:r>
    </w:p>
    <w:p w:rsidR="006954A7" w:rsidRDefault="0092657E">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1.董事长、总裁、总经理、CFO、投融资负责人等高层管理者；</w:t>
      </w:r>
    </w:p>
    <w:p w:rsidR="006954A7" w:rsidRDefault="0092657E">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2.政府金融监管、基金管理、招商和经济部门高级管理人员及后备领导干部；</w:t>
      </w:r>
    </w:p>
    <w:p w:rsidR="006954A7" w:rsidRDefault="0092657E">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3.机构（银行、基金、信托、证券、保险、期货、投资公司等）高级从业人员；</w:t>
      </w:r>
    </w:p>
    <w:p w:rsidR="006954A7" w:rsidRDefault="0092657E">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4.有志于从事金融投资领域的各界人士。</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五、学习安排</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1、学习时间：每月授课2-4天（一般在周末）。</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2、教学方式：针对在职管理人员，以案例教学、互动教学、模拟教学为主，分期面授与集中授课相结合；</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六、课程设置</w:t>
      </w:r>
    </w:p>
    <w:tbl>
      <w:tblPr>
        <w:tblStyle w:val="a6"/>
        <w:tblW w:w="8285" w:type="dxa"/>
        <w:tblInd w:w="196" w:type="dxa"/>
        <w:tblLayout w:type="fixed"/>
        <w:tblLook w:val="04A0"/>
      </w:tblPr>
      <w:tblGrid>
        <w:gridCol w:w="3615"/>
        <w:gridCol w:w="4670"/>
      </w:tblGrid>
      <w:tr w:rsidR="006954A7">
        <w:tc>
          <w:tcPr>
            <w:tcW w:w="3615" w:type="dxa"/>
            <w:vMerge w:val="restart"/>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公共基础课</w:t>
            </w: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西方经济学（微观、宏观）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经济学前沿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财政学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国际金融   </w:t>
            </w:r>
          </w:p>
        </w:tc>
      </w:tr>
      <w:tr w:rsidR="006954A7">
        <w:trPr>
          <w:trHeight w:val="283"/>
        </w:trPr>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马克思主义与当代社会思潮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社会主义经济理论</w:t>
            </w:r>
          </w:p>
        </w:tc>
      </w:tr>
      <w:tr w:rsidR="006954A7">
        <w:tc>
          <w:tcPr>
            <w:tcW w:w="3615" w:type="dxa"/>
            <w:vMerge w:val="restart"/>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专业基础课</w:t>
            </w: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管理学原理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企业战略管理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市场营销学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管理经济学</w:t>
            </w:r>
          </w:p>
        </w:tc>
      </w:tr>
      <w:tr w:rsidR="006954A7">
        <w:trPr>
          <w:trHeight w:val="353"/>
        </w:trPr>
        <w:tc>
          <w:tcPr>
            <w:tcW w:w="3615" w:type="dxa"/>
            <w:vMerge w:val="restart"/>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专业课（选开）</w:t>
            </w: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金融学  </w:t>
            </w:r>
          </w:p>
        </w:tc>
      </w:tr>
      <w:tr w:rsidR="006954A7">
        <w:trPr>
          <w:trHeight w:val="353"/>
        </w:trPr>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金融市场理论与实践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金融发展理论与政策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宏观经济分析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货币理论与货币政策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金融投资学  </w:t>
            </w:r>
          </w:p>
        </w:tc>
      </w:tr>
      <w:tr w:rsidR="006954A7">
        <w:trPr>
          <w:trHeight w:val="90"/>
        </w:trPr>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高级产业经济学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房地产金融学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金融风险管理理论</w:t>
            </w:r>
          </w:p>
        </w:tc>
      </w:tr>
      <w:tr w:rsidR="006954A7">
        <w:tc>
          <w:tcPr>
            <w:tcW w:w="3615" w:type="dxa"/>
            <w:vMerge w:val="restart"/>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专业选修课</w:t>
            </w: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私募股权投资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私募股权投资基金运营实务</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PE/VC及基金的投资与决策</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PE/VC投融资税收筹划 </w:t>
            </w:r>
          </w:p>
        </w:tc>
      </w:tr>
      <w:tr w:rsidR="006954A7">
        <w:tc>
          <w:tcPr>
            <w:tcW w:w="3615" w:type="dxa"/>
            <w:vMerge w:val="restart"/>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跨学科选修课</w:t>
            </w: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《孙子兵法》的战略管理思想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《易经》与总裁经营之道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团队精神与领导艺术 </w:t>
            </w:r>
          </w:p>
        </w:tc>
      </w:tr>
      <w:tr w:rsidR="006954A7">
        <w:tc>
          <w:tcPr>
            <w:tcW w:w="3615" w:type="dxa"/>
            <w:vMerge/>
            <w:vAlign w:val="center"/>
          </w:tcPr>
          <w:p w:rsidR="006954A7" w:rsidRDefault="006954A7">
            <w:pPr>
              <w:widowControl/>
              <w:spacing w:line="360" w:lineRule="auto"/>
              <w:jc w:val="center"/>
              <w:rPr>
                <w:rFonts w:ascii="宋体" w:eastAsia="宋体" w:hAnsi="宋体" w:cs="宋体"/>
                <w:kern w:val="0"/>
                <w:szCs w:val="21"/>
              </w:rPr>
            </w:pPr>
          </w:p>
        </w:tc>
        <w:tc>
          <w:tcPr>
            <w:tcW w:w="4670" w:type="dxa"/>
            <w:vAlign w:val="center"/>
          </w:tcPr>
          <w:p w:rsidR="006954A7" w:rsidRDefault="0092657E">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战略人力资源管理</w:t>
            </w:r>
          </w:p>
        </w:tc>
      </w:tr>
    </w:tbl>
    <w:p w:rsidR="006954A7" w:rsidRDefault="0092657E">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课程安排说明：两年学习期间共安排18门左右课程（另有10次以上专家讲座、其中多位参与中央政治局集体学习授课）</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七、师资力量</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学院派</w:t>
      </w:r>
      <w:r>
        <w:rPr>
          <w:rFonts w:ascii="宋体" w:eastAsia="宋体" w:hAnsi="宋体" w:cs="宋体" w:hint="eastAsia"/>
          <w:color w:val="000000" w:themeColor="text1"/>
          <w:sz w:val="24"/>
        </w:rPr>
        <w:t>：以中国社科院各院所多位拥有极高学术声誉和社会影响力的教授博导为主（其中多位曾为中央政治局集体授课），同时特邀清华、复旦、交大等高校一流教授。</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实战派</w:t>
      </w:r>
      <w:r>
        <w:rPr>
          <w:rFonts w:ascii="宋体" w:eastAsia="宋体" w:hAnsi="宋体" w:cs="宋体" w:hint="eastAsia"/>
          <w:color w:val="000000" w:themeColor="text1"/>
          <w:sz w:val="24"/>
        </w:rPr>
        <w:t>：金融机构、国际投行、证券基金等业界专家型高管。</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政策派</w:t>
      </w:r>
      <w:r>
        <w:rPr>
          <w:rFonts w:ascii="宋体" w:eastAsia="宋体" w:hAnsi="宋体" w:cs="宋体" w:hint="eastAsia"/>
          <w:color w:val="000000" w:themeColor="text1"/>
          <w:sz w:val="24"/>
        </w:rPr>
        <w:t>：国家一行三会、发改委等学者型高级官员。</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八、学习费用</w:t>
      </w:r>
    </w:p>
    <w:p w:rsidR="006954A7" w:rsidRDefault="0092657E">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报名费800元/人（含考试费和考前辅导费），学费158 000元/人（分两次缴费：第一年度交9.8万元，第二年交6万元），包括学费、资料费、结业考试费、结业费、结业论文指导费以及课间茶点费等，交通、食宿费用自理。 </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九、交款方式</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开户银行：中国工商银行房山支行良乡分理处</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账    户：0200 0264 0920 0176 883</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十、证书与学位</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6954A7" w:rsidRDefault="0092657E">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十一、报名事宜</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 xml:space="preserve">第一步：网上预报名申请 </w:t>
      </w:r>
    </w:p>
    <w:p w:rsidR="006954A7" w:rsidRDefault="0092657E">
      <w:pPr>
        <w:pStyle w:val="a5"/>
        <w:spacing w:before="0" w:beforeAutospacing="0" w:after="0" w:afterAutospacing="0" w:line="360" w:lineRule="auto"/>
        <w:ind w:firstLine="345"/>
        <w:rPr>
          <w:rFonts w:ascii="宋体" w:eastAsia="宋体" w:hAnsi="宋体" w:cs="宋体"/>
          <w:color w:val="000000" w:themeColor="text1"/>
          <w:sz w:val="24"/>
          <w:u w:val="single"/>
        </w:rPr>
      </w:pPr>
      <w:r>
        <w:rPr>
          <w:rFonts w:ascii="宋体" w:eastAsia="宋体" w:hAnsi="宋体" w:cs="宋体" w:hint="eastAsia"/>
          <w:color w:val="000000" w:themeColor="text1"/>
          <w:sz w:val="24"/>
        </w:rPr>
        <w:t>网上预报名申请(下载并填写电子版报名表)---（或直接）将身份证和学位证扫描件及目前工作背景简介email至:</w:t>
      </w:r>
      <w:r>
        <w:rPr>
          <w:rFonts w:ascii="宋体" w:eastAsia="宋体" w:hAnsi="宋体" w:cs="宋体" w:hint="eastAsia"/>
          <w:color w:val="000000" w:themeColor="text1"/>
          <w:sz w:val="24"/>
          <w:u w:val="single"/>
        </w:rPr>
        <w:t xml:space="preserve">  </w:t>
      </w:r>
      <w:r w:rsidR="00FB79F9">
        <w:rPr>
          <w:rFonts w:ascii="宋体" w:eastAsia="宋体" w:hAnsi="宋体" w:cs="宋体" w:hint="eastAsia"/>
          <w:color w:val="000000" w:themeColor="text1"/>
          <w:sz w:val="24"/>
          <w:u w:val="single"/>
        </w:rPr>
        <w:t>13121135903</w:t>
      </w:r>
      <w:r w:rsidR="00BF72B2">
        <w:rPr>
          <w:rFonts w:ascii="宋体" w:eastAsia="宋体" w:hAnsi="宋体" w:cs="宋体" w:hint="eastAsia"/>
          <w:color w:val="000000" w:themeColor="text1"/>
          <w:sz w:val="24"/>
          <w:u w:val="single"/>
        </w:rPr>
        <w:t>@</w:t>
      </w:r>
      <w:r w:rsidR="00FB79F9">
        <w:rPr>
          <w:rFonts w:ascii="宋体" w:eastAsia="宋体" w:hAnsi="宋体" w:cs="宋体" w:hint="eastAsia"/>
          <w:color w:val="000000" w:themeColor="text1"/>
          <w:sz w:val="24"/>
          <w:u w:val="single"/>
        </w:rPr>
        <w:t>qq.com</w:t>
      </w:r>
      <w:r>
        <w:rPr>
          <w:rFonts w:ascii="宋体" w:eastAsia="宋体" w:hAnsi="宋体" w:cs="宋体" w:hint="eastAsia"/>
          <w:color w:val="000000" w:themeColor="text1"/>
          <w:sz w:val="24"/>
          <w:u w:val="single"/>
        </w:rPr>
        <w:t xml:space="preserve">              </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第二步：资料初审</w:t>
      </w:r>
    </w:p>
    <w:p w:rsidR="006954A7" w:rsidRDefault="0092657E">
      <w:pPr>
        <w:pStyle w:val="a5"/>
        <w:spacing w:before="0" w:beforeAutospacing="0" w:after="0" w:afterAutospacing="0" w:line="360" w:lineRule="auto"/>
        <w:ind w:firstLine="345"/>
        <w:rPr>
          <w:rFonts w:ascii="宋体" w:eastAsia="宋体" w:hAnsi="宋体" w:cs="宋体"/>
          <w:color w:val="000000" w:themeColor="text1"/>
          <w:sz w:val="24"/>
        </w:rPr>
      </w:pPr>
      <w:r>
        <w:rPr>
          <w:rFonts w:ascii="宋体" w:eastAsia="宋体" w:hAnsi="宋体" w:cs="宋体" w:hint="eastAsia"/>
          <w:color w:val="000000" w:themeColor="text1"/>
          <w:sz w:val="24"/>
        </w:rPr>
        <w:t>2个工作日内进行申请资料初审，通过审核后我们将电话或邮件安排您进入现场报名环节。</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第三步：现场正式报名登记</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正式报名登记时需提交：</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lastRenderedPageBreak/>
        <w:t>1、报名申请表（现场填写）</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2、学士学位证书原件和复印件</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3、硕士学位证书原件和复印件</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4、身份证原件和复印件（正反面）</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5、1寸免冠近照4张</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6、名片（2张）</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7、报名费800元（含笔试和面试费用）</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第四步：笔试和面试考核</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1、在开班前1-2个月，会集中安排1-2次笔试和面试时间，具体时间老师会提前告知（已通过第一、二步网上预报名申请的同学，因故也可申请直接第四步笔试和面试环节）。</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2、笔试环节（90-120分钟），内容更多紧扣当前经济金融和管理等相关话题；面试环节，将由评审委员会考核申请人的综合素质。</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第五步：录取通知和缴费</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笔试和面试后10个工作日内，不论录取与否，您将获知面试结果（电话或短信方式），录取学生接到录取通知后，请您按缴费通知上的要求，一次性缴纳学费。</w:t>
      </w:r>
    </w:p>
    <w:p w:rsidR="006954A7" w:rsidRDefault="0092657E">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第六步：开学报到</w:t>
      </w:r>
    </w:p>
    <w:p w:rsidR="006954A7" w:rsidRDefault="0092657E">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开学日持交费凭证办理报名注册、领取资料，正式入学。</w:t>
      </w:r>
    </w:p>
    <w:p w:rsidR="006954A7" w:rsidRDefault="0092657E">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十二、报名咨询</w:t>
      </w:r>
    </w:p>
    <w:p w:rsidR="006954A7" w:rsidRDefault="0092657E">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Pr>
          <w:rFonts w:ascii="宋体" w:eastAsia="宋体" w:hAnsi="宋体" w:cs="宋体" w:hint="eastAsia"/>
          <w:color w:val="000000" w:themeColor="text1"/>
          <w:sz w:val="24"/>
          <w:u w:val="single"/>
        </w:rPr>
        <w:t xml:space="preserve"> </w:t>
      </w:r>
      <w:r w:rsidR="00FB79F9">
        <w:rPr>
          <w:rFonts w:ascii="宋体" w:eastAsia="宋体" w:hAnsi="宋体" w:cs="宋体" w:hint="eastAsia"/>
          <w:color w:val="000000" w:themeColor="text1"/>
          <w:sz w:val="24"/>
          <w:u w:val="single"/>
        </w:rPr>
        <w:t>400-061-6586</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 xml:space="preserve"> </w:t>
      </w:r>
    </w:p>
    <w:p w:rsidR="006954A7" w:rsidRDefault="0092657E">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6954A7" w:rsidRDefault="0092657E">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北京校本部地址：北京市东直门外望京中环南路1号中国社会科学院研究生院</w:t>
      </w:r>
    </w:p>
    <w:p w:rsidR="006954A7" w:rsidRDefault="006954A7"/>
    <w:p w:rsidR="008E46D7" w:rsidRDefault="008E46D7" w:rsidP="008E46D7">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8E46D7" w:rsidRDefault="008E46D7" w:rsidP="008E46D7">
      <w:pPr>
        <w:jc w:val="center"/>
        <w:rPr>
          <w:rFonts w:ascii="微软雅黑" w:eastAsia="微软雅黑" w:hAnsi="微软雅黑"/>
          <w:bCs/>
          <w:sz w:val="44"/>
          <w:szCs w:val="44"/>
        </w:rPr>
      </w:pPr>
    </w:p>
    <w:p w:rsidR="008E46D7" w:rsidRDefault="008E46D7" w:rsidP="008E46D7">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8E46D7" w:rsidRDefault="008E46D7" w:rsidP="008E46D7">
      <w:pPr>
        <w:jc w:val="center"/>
        <w:rPr>
          <w:rFonts w:ascii="微软雅黑" w:eastAsia="微软雅黑" w:hAnsi="微软雅黑"/>
          <w:bCs/>
          <w:sz w:val="44"/>
          <w:szCs w:val="44"/>
        </w:rPr>
      </w:pPr>
      <w:r>
        <w:rPr>
          <w:rFonts w:ascii="微软雅黑" w:eastAsia="微软雅黑" w:hAnsi="微软雅黑" w:hint="eastAsia"/>
          <w:bCs/>
          <w:sz w:val="44"/>
          <w:szCs w:val="44"/>
        </w:rPr>
        <w:lastRenderedPageBreak/>
        <w:t>高级课程班报名表</w:t>
      </w:r>
    </w:p>
    <w:p w:rsidR="008E46D7" w:rsidRDefault="008E46D7" w:rsidP="008E46D7">
      <w:pPr>
        <w:jc w:val="center"/>
        <w:rPr>
          <w:rFonts w:ascii="微软雅黑" w:eastAsia="微软雅黑" w:hAnsi="微软雅黑"/>
          <w:bCs/>
          <w:sz w:val="44"/>
          <w:szCs w:val="44"/>
        </w:rPr>
      </w:pPr>
    </w:p>
    <w:p w:rsidR="008E46D7" w:rsidRDefault="008E46D7" w:rsidP="008E46D7">
      <w:pPr>
        <w:jc w:val="center"/>
        <w:rPr>
          <w:rFonts w:ascii="微软雅黑" w:eastAsia="微软雅黑" w:hAnsi="微软雅黑"/>
          <w:bCs/>
          <w:sz w:val="44"/>
          <w:szCs w:val="44"/>
        </w:rPr>
      </w:pPr>
    </w:p>
    <w:p w:rsidR="008E46D7" w:rsidRDefault="008E46D7" w:rsidP="008E46D7">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8E46D7" w:rsidRDefault="008E46D7" w:rsidP="008E46D7">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8E46D7" w:rsidRDefault="008E46D7" w:rsidP="008E46D7">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8E46D7" w:rsidRDefault="008E46D7" w:rsidP="008E46D7">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8E46D7" w:rsidRDefault="008E46D7" w:rsidP="008E46D7">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8E46D7" w:rsidRDefault="008E46D7" w:rsidP="008E46D7">
      <w:pPr>
        <w:ind w:left="360"/>
        <w:rPr>
          <w:rFonts w:ascii="微软雅黑" w:eastAsia="微软雅黑" w:hAnsi="微软雅黑"/>
          <w:bCs/>
          <w:sz w:val="32"/>
          <w:szCs w:val="32"/>
          <w:u w:val="single"/>
        </w:rPr>
      </w:pPr>
    </w:p>
    <w:p w:rsidR="008E46D7" w:rsidRDefault="008E46D7" w:rsidP="008E46D7"/>
    <w:p w:rsidR="008E46D7" w:rsidRDefault="008E46D7" w:rsidP="008E46D7"/>
    <w:p w:rsidR="008E46D7" w:rsidRDefault="008E46D7" w:rsidP="008E46D7"/>
    <w:p w:rsidR="008E46D7" w:rsidRDefault="008E46D7" w:rsidP="008E46D7">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8E46D7" w:rsidRDefault="008E46D7" w:rsidP="008E46D7">
      <w:pPr>
        <w:pStyle w:val="2"/>
      </w:pPr>
    </w:p>
    <w:p w:rsidR="008E46D7" w:rsidRDefault="008E46D7" w:rsidP="008E46D7">
      <w:pPr>
        <w:pStyle w:val="2"/>
        <w:rPr>
          <w:rFonts w:ascii="微软雅黑" w:eastAsia="微软雅黑" w:hAnsi="微软雅黑" w:cs="微软雅黑"/>
          <w:sz w:val="24"/>
          <w:szCs w:val="24"/>
        </w:rPr>
        <w:sectPr w:rsidR="008E46D7">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8E46D7" w:rsidRDefault="008E46D7" w:rsidP="008E46D7">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8E46D7" w:rsidRDefault="008E46D7" w:rsidP="008E46D7">
      <w:pPr>
        <w:jc w:val="left"/>
        <w:rPr>
          <w:rFonts w:ascii="微软雅黑" w:eastAsia="微软雅黑" w:hAnsi="微软雅黑" w:cs="微软雅黑"/>
          <w:szCs w:val="21"/>
        </w:rPr>
      </w:pPr>
    </w:p>
    <w:p w:rsidR="008E46D7" w:rsidRDefault="008E46D7" w:rsidP="008E46D7">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8E46D7" w:rsidRDefault="008E46D7" w:rsidP="008E46D7">
      <w:pPr>
        <w:numPr>
          <w:ilvl w:val="0"/>
          <w:numId w:val="1"/>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8E46D7" w:rsidRDefault="008E46D7" w:rsidP="008E46D7">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8E46D7" w:rsidRDefault="008E46D7" w:rsidP="008E46D7">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8E46D7" w:rsidRDefault="008E46D7" w:rsidP="008E46D7">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8E46D7" w:rsidRDefault="008E46D7" w:rsidP="008E46D7">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附件</w:t>
      </w:r>
    </w:p>
    <w:p w:rsidR="008E46D7" w:rsidRDefault="008E46D7" w:rsidP="008E46D7">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8E46D7" w:rsidRDefault="008E46D7" w:rsidP="008E46D7">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8E46D7" w:rsidRDefault="008E46D7" w:rsidP="008E46D7">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8E46D7" w:rsidRDefault="008E46D7" w:rsidP="008E46D7">
      <w:pPr>
        <w:pStyle w:val="2"/>
      </w:pPr>
    </w:p>
    <w:p w:rsidR="008E46D7" w:rsidRDefault="008E46D7" w:rsidP="008E46D7">
      <w:pPr>
        <w:pStyle w:val="2"/>
        <w:rPr>
          <w:rFonts w:ascii="微软雅黑" w:eastAsia="微软雅黑" w:hAnsi="微软雅黑" w:cs="微软雅黑"/>
          <w:sz w:val="24"/>
          <w:szCs w:val="24"/>
        </w:rPr>
        <w:sectPr w:rsidR="008E46D7">
          <w:headerReference w:type="default" r:id="rId15"/>
          <w:pgSz w:w="11906" w:h="16838"/>
          <w:pgMar w:top="1213" w:right="1349" w:bottom="1213" w:left="1293" w:header="851" w:footer="992" w:gutter="0"/>
          <w:cols w:space="720"/>
          <w:docGrid w:type="lines" w:linePitch="312"/>
        </w:sectPr>
      </w:pP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8E46D7" w:rsidRDefault="008E46D7" w:rsidP="008E46D7">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8E46D7" w:rsidRDefault="008E46D7" w:rsidP="008E46D7">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8E46D7" w:rsidRDefault="008E46D7" w:rsidP="008E46D7">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8E46D7" w:rsidRDefault="008E46D7" w:rsidP="008E46D7">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8E46D7" w:rsidRDefault="008E46D7" w:rsidP="008E46D7">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8E46D7" w:rsidRDefault="008E46D7" w:rsidP="008E46D7">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8E46D7" w:rsidRDefault="008E46D7" w:rsidP="008E46D7">
      <w:pPr>
        <w:spacing w:line="460" w:lineRule="exact"/>
        <w:rPr>
          <w:rFonts w:ascii="微软雅黑" w:eastAsia="微软雅黑" w:hAnsi="微软雅黑"/>
          <w:szCs w:val="21"/>
        </w:rPr>
      </w:pPr>
      <w:r>
        <w:rPr>
          <w:rFonts w:ascii="微软雅黑" w:eastAsia="微软雅黑" w:hAnsi="微软雅黑" w:hint="eastAsia"/>
          <w:szCs w:val="21"/>
        </w:rPr>
        <w:t>2、退费：</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8E46D7" w:rsidRDefault="008E46D7" w:rsidP="008E46D7">
      <w:pPr>
        <w:numPr>
          <w:ilvl w:val="0"/>
          <w:numId w:val="5"/>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8E46D7" w:rsidRDefault="008E46D7" w:rsidP="008E46D7">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8E46D7" w:rsidRDefault="008E46D7" w:rsidP="008E46D7">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8E46D7" w:rsidRDefault="008E46D7" w:rsidP="008E46D7">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8E46D7" w:rsidRDefault="008E46D7" w:rsidP="008E46D7">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8E46D7" w:rsidRDefault="008E46D7" w:rsidP="008E46D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8E46D7" w:rsidRDefault="008E46D7" w:rsidP="008E46D7">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8E46D7" w:rsidRDefault="008E46D7" w:rsidP="008E46D7">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8E46D7" w:rsidRDefault="008E46D7" w:rsidP="008E46D7">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8E46D7" w:rsidRDefault="008E46D7" w:rsidP="008E46D7">
      <w:pPr>
        <w:pStyle w:val="2"/>
        <w:rPr>
          <w:rFonts w:ascii="微软雅黑" w:eastAsia="微软雅黑" w:hAnsi="微软雅黑" w:cs="微软雅黑"/>
          <w:sz w:val="24"/>
          <w:szCs w:val="24"/>
        </w:rPr>
      </w:pPr>
    </w:p>
    <w:p w:rsidR="008E46D7" w:rsidRDefault="008E46D7" w:rsidP="008E46D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lang w:val="en-GB"/>
        </w:rPr>
      </w:pP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8E46D7" w:rsidRDefault="008E46D7" w:rsidP="008E46D7">
      <w:pPr>
        <w:spacing w:line="460" w:lineRule="exact"/>
        <w:rPr>
          <w:rFonts w:ascii="微软雅黑" w:eastAsia="微软雅黑" w:hAnsi="微软雅黑"/>
          <w:sz w:val="24"/>
          <w:lang w:val="en-GB"/>
        </w:rPr>
      </w:pP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8E46D7" w:rsidRDefault="008E46D7" w:rsidP="008E46D7">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8E46D7" w:rsidRDefault="008E46D7" w:rsidP="008E46D7">
      <w:pPr>
        <w:spacing w:line="460" w:lineRule="exact"/>
        <w:rPr>
          <w:rFonts w:ascii="微软雅黑" w:eastAsia="微软雅黑" w:hAnsi="微软雅黑"/>
          <w:sz w:val="24"/>
        </w:rPr>
      </w:pPr>
    </w:p>
    <w:p w:rsidR="008E46D7" w:rsidRDefault="008E46D7" w:rsidP="008E46D7">
      <w:pPr>
        <w:spacing w:line="460" w:lineRule="exact"/>
        <w:rPr>
          <w:rFonts w:ascii="微软雅黑" w:eastAsia="微软雅黑" w:hAnsi="微软雅黑"/>
          <w:sz w:val="24"/>
        </w:rPr>
      </w:pPr>
    </w:p>
    <w:p w:rsidR="008E46D7" w:rsidRDefault="008E46D7" w:rsidP="008E46D7">
      <w:pPr>
        <w:spacing w:line="460" w:lineRule="exact"/>
        <w:rPr>
          <w:rFonts w:ascii="微软雅黑" w:eastAsia="微软雅黑" w:hAnsi="微软雅黑"/>
          <w:sz w:val="24"/>
        </w:rPr>
      </w:pPr>
    </w:p>
    <w:p w:rsidR="008E46D7" w:rsidRDefault="008E46D7" w:rsidP="008E46D7">
      <w:pPr>
        <w:spacing w:line="460" w:lineRule="exact"/>
        <w:rPr>
          <w:rFonts w:ascii="微软雅黑" w:eastAsia="微软雅黑" w:hAnsi="微软雅黑"/>
          <w:sz w:val="24"/>
        </w:rPr>
      </w:pPr>
    </w:p>
    <w:p w:rsidR="008E46D7" w:rsidRDefault="008E46D7" w:rsidP="008E46D7">
      <w:pPr>
        <w:spacing w:line="460" w:lineRule="exact"/>
        <w:rPr>
          <w:rFonts w:ascii="微软雅黑" w:eastAsia="微软雅黑" w:hAnsi="微软雅黑"/>
          <w:sz w:val="24"/>
        </w:rPr>
      </w:pPr>
    </w:p>
    <w:p w:rsidR="008E46D7" w:rsidRDefault="008E46D7" w:rsidP="008E46D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8E46D7" w:rsidRDefault="008E46D7" w:rsidP="008E46D7">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8E46D7" w:rsidTr="007B05FA">
        <w:trPr>
          <w:trHeight w:val="402"/>
        </w:trPr>
        <w:tc>
          <w:tcPr>
            <w:tcW w:w="2929" w:type="dxa"/>
            <w:vAlign w:val="center"/>
          </w:tcPr>
          <w:p w:rsidR="008E46D7" w:rsidRDefault="008E46D7"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8E46D7" w:rsidRDefault="008E46D7"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8E46D7" w:rsidRDefault="008E46D7"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8E46D7" w:rsidTr="007B05FA">
        <w:trPr>
          <w:trHeight w:val="420"/>
        </w:trPr>
        <w:tc>
          <w:tcPr>
            <w:tcW w:w="2929" w:type="dxa"/>
            <w:vAlign w:val="center"/>
          </w:tcPr>
          <w:p w:rsidR="008E46D7" w:rsidRDefault="008E46D7" w:rsidP="007B05FA">
            <w:pPr>
              <w:spacing w:line="600" w:lineRule="exact"/>
              <w:rPr>
                <w:rFonts w:ascii="微软雅黑" w:eastAsia="微软雅黑" w:hAnsi="微软雅黑"/>
                <w:sz w:val="24"/>
              </w:rPr>
            </w:pPr>
          </w:p>
        </w:tc>
        <w:tc>
          <w:tcPr>
            <w:tcW w:w="3960" w:type="dxa"/>
            <w:gridSpan w:val="2"/>
            <w:vAlign w:val="center"/>
          </w:tcPr>
          <w:p w:rsidR="008E46D7" w:rsidRDefault="008E46D7" w:rsidP="007B05FA">
            <w:pPr>
              <w:spacing w:line="600" w:lineRule="exact"/>
              <w:rPr>
                <w:rFonts w:ascii="微软雅黑" w:eastAsia="微软雅黑" w:hAnsi="微软雅黑"/>
                <w:sz w:val="24"/>
                <w:lang w:val="en-GB"/>
              </w:rPr>
            </w:pPr>
          </w:p>
        </w:tc>
        <w:tc>
          <w:tcPr>
            <w:tcW w:w="2495" w:type="dxa"/>
            <w:vAlign w:val="center"/>
          </w:tcPr>
          <w:p w:rsidR="008E46D7" w:rsidRDefault="008E46D7" w:rsidP="007B05FA">
            <w:pPr>
              <w:spacing w:line="600" w:lineRule="exact"/>
              <w:rPr>
                <w:rFonts w:ascii="微软雅黑" w:eastAsia="微软雅黑" w:hAnsi="微软雅黑"/>
                <w:sz w:val="24"/>
                <w:lang w:val="en-GB"/>
              </w:rPr>
            </w:pPr>
          </w:p>
        </w:tc>
      </w:tr>
      <w:tr w:rsidR="008E46D7" w:rsidTr="007B05FA">
        <w:trPr>
          <w:trHeight w:val="1779"/>
        </w:trPr>
        <w:tc>
          <w:tcPr>
            <w:tcW w:w="2929" w:type="dxa"/>
            <w:vAlign w:val="center"/>
          </w:tcPr>
          <w:p w:rsidR="008E46D7" w:rsidRDefault="008E46D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8E46D7" w:rsidRDefault="008E46D7"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8E46D7" w:rsidRDefault="008E46D7" w:rsidP="007B05FA">
            <w:pPr>
              <w:jc w:val="left"/>
              <w:rPr>
                <w:rFonts w:ascii="微软雅黑" w:eastAsia="微软雅黑" w:hAnsi="微软雅黑"/>
                <w:sz w:val="24"/>
              </w:rPr>
            </w:pPr>
          </w:p>
        </w:tc>
      </w:tr>
      <w:tr w:rsidR="008E46D7" w:rsidTr="007B05FA">
        <w:trPr>
          <w:trHeight w:val="486"/>
        </w:trPr>
        <w:tc>
          <w:tcPr>
            <w:tcW w:w="2929" w:type="dxa"/>
            <w:vAlign w:val="center"/>
          </w:tcPr>
          <w:p w:rsidR="008E46D7" w:rsidRDefault="008E46D7" w:rsidP="007B05FA">
            <w:pPr>
              <w:spacing w:line="600" w:lineRule="exact"/>
              <w:jc w:val="center"/>
              <w:rPr>
                <w:rFonts w:ascii="微软雅黑" w:eastAsia="微软雅黑" w:hAnsi="微软雅黑"/>
                <w:sz w:val="24"/>
              </w:rPr>
            </w:pPr>
          </w:p>
        </w:tc>
        <w:tc>
          <w:tcPr>
            <w:tcW w:w="3960" w:type="dxa"/>
            <w:gridSpan w:val="2"/>
            <w:vAlign w:val="center"/>
          </w:tcPr>
          <w:p w:rsidR="008E46D7" w:rsidRDefault="008E46D7" w:rsidP="007B05FA">
            <w:pPr>
              <w:spacing w:line="600" w:lineRule="exact"/>
              <w:rPr>
                <w:rFonts w:ascii="微软雅黑" w:eastAsia="微软雅黑" w:hAnsi="微软雅黑"/>
                <w:sz w:val="24"/>
                <w:lang w:val="en-GB"/>
              </w:rPr>
            </w:pPr>
          </w:p>
        </w:tc>
        <w:tc>
          <w:tcPr>
            <w:tcW w:w="2495" w:type="dxa"/>
            <w:vAlign w:val="center"/>
          </w:tcPr>
          <w:p w:rsidR="008E46D7" w:rsidRDefault="008E46D7" w:rsidP="007B05FA">
            <w:pPr>
              <w:spacing w:line="600" w:lineRule="exact"/>
              <w:rPr>
                <w:rFonts w:ascii="微软雅黑" w:eastAsia="微软雅黑" w:hAnsi="微软雅黑"/>
                <w:sz w:val="24"/>
                <w:lang w:val="en-GB"/>
              </w:rPr>
            </w:pPr>
          </w:p>
        </w:tc>
      </w:tr>
      <w:tr w:rsidR="008E46D7" w:rsidTr="007B05FA">
        <w:trPr>
          <w:trHeight w:val="1851"/>
        </w:trPr>
        <w:tc>
          <w:tcPr>
            <w:tcW w:w="2929" w:type="dxa"/>
            <w:vAlign w:val="center"/>
          </w:tcPr>
          <w:p w:rsidR="008E46D7" w:rsidRDefault="008E46D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8E46D7" w:rsidRDefault="008E46D7" w:rsidP="007B05FA">
            <w:pPr>
              <w:spacing w:line="600" w:lineRule="exact"/>
              <w:jc w:val="center"/>
              <w:rPr>
                <w:rFonts w:ascii="微软雅黑" w:eastAsia="微软雅黑" w:hAnsi="微软雅黑"/>
                <w:sz w:val="24"/>
                <w:lang w:val="en-GB"/>
              </w:rPr>
            </w:pPr>
          </w:p>
        </w:tc>
        <w:tc>
          <w:tcPr>
            <w:tcW w:w="6455" w:type="dxa"/>
            <w:gridSpan w:val="3"/>
            <w:vAlign w:val="center"/>
          </w:tcPr>
          <w:p w:rsidR="008E46D7" w:rsidRDefault="008E46D7" w:rsidP="007B05FA">
            <w:pPr>
              <w:jc w:val="left"/>
              <w:rPr>
                <w:rFonts w:ascii="宋体" w:hAnsi="宋体" w:cs="宋体"/>
                <w:sz w:val="24"/>
              </w:rPr>
            </w:pPr>
          </w:p>
        </w:tc>
      </w:tr>
      <w:tr w:rsidR="008E46D7" w:rsidTr="007B05FA">
        <w:trPr>
          <w:trHeight w:val="90"/>
        </w:trPr>
        <w:tc>
          <w:tcPr>
            <w:tcW w:w="2929" w:type="dxa"/>
            <w:vAlign w:val="center"/>
          </w:tcPr>
          <w:p w:rsidR="008E46D7" w:rsidRDefault="008E46D7" w:rsidP="007B05FA">
            <w:pPr>
              <w:spacing w:line="600" w:lineRule="exact"/>
              <w:jc w:val="center"/>
              <w:rPr>
                <w:rFonts w:ascii="微软雅黑" w:eastAsia="微软雅黑" w:hAnsi="微软雅黑"/>
                <w:sz w:val="24"/>
              </w:rPr>
            </w:pPr>
          </w:p>
        </w:tc>
        <w:tc>
          <w:tcPr>
            <w:tcW w:w="3740" w:type="dxa"/>
            <w:vAlign w:val="center"/>
          </w:tcPr>
          <w:p w:rsidR="008E46D7" w:rsidRDefault="008E46D7" w:rsidP="007B05FA">
            <w:pPr>
              <w:spacing w:line="600" w:lineRule="exact"/>
              <w:rPr>
                <w:rFonts w:ascii="微软雅黑" w:eastAsia="微软雅黑" w:hAnsi="微软雅黑"/>
                <w:sz w:val="24"/>
                <w:lang w:val="en-GB"/>
              </w:rPr>
            </w:pPr>
          </w:p>
        </w:tc>
        <w:tc>
          <w:tcPr>
            <w:tcW w:w="2715" w:type="dxa"/>
            <w:gridSpan w:val="2"/>
            <w:vAlign w:val="center"/>
          </w:tcPr>
          <w:p w:rsidR="008E46D7" w:rsidRDefault="008E46D7"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8E46D7" w:rsidTr="007B05FA">
        <w:trPr>
          <w:trHeight w:val="1916"/>
        </w:trPr>
        <w:tc>
          <w:tcPr>
            <w:tcW w:w="2929" w:type="dxa"/>
            <w:vAlign w:val="center"/>
          </w:tcPr>
          <w:p w:rsidR="008E46D7" w:rsidRDefault="008E46D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8E46D7" w:rsidRDefault="008E46D7" w:rsidP="007B05FA">
            <w:pPr>
              <w:spacing w:line="600" w:lineRule="exact"/>
              <w:jc w:val="center"/>
              <w:rPr>
                <w:rFonts w:ascii="微软雅黑" w:eastAsia="微软雅黑" w:hAnsi="微软雅黑"/>
                <w:sz w:val="24"/>
                <w:lang w:val="en-GB"/>
              </w:rPr>
            </w:pPr>
          </w:p>
        </w:tc>
        <w:tc>
          <w:tcPr>
            <w:tcW w:w="6455" w:type="dxa"/>
            <w:gridSpan w:val="3"/>
            <w:vAlign w:val="center"/>
          </w:tcPr>
          <w:p w:rsidR="008E46D7" w:rsidRDefault="008E46D7" w:rsidP="007B05FA">
            <w:pPr>
              <w:rPr>
                <w:rFonts w:ascii="宋体" w:hAnsi="宋体" w:cs="宋体"/>
                <w:sz w:val="24"/>
              </w:rPr>
            </w:pPr>
          </w:p>
        </w:tc>
      </w:tr>
    </w:tbl>
    <w:p w:rsidR="008E46D7" w:rsidRDefault="008E46D7" w:rsidP="008E46D7">
      <w:pPr>
        <w:jc w:val="left"/>
        <w:rPr>
          <w:rFonts w:ascii="微软雅黑" w:eastAsia="微软雅黑" w:hAnsi="微软雅黑"/>
          <w:b/>
          <w:bCs/>
          <w:i/>
          <w:iCs/>
          <w:sz w:val="28"/>
          <w:szCs w:val="28"/>
          <w:shd w:val="pct10" w:color="auto" w:fill="FFFFFF"/>
          <w:lang w:val="en-GB"/>
        </w:rPr>
      </w:pPr>
    </w:p>
    <w:p w:rsidR="008E46D7" w:rsidRDefault="008E46D7" w:rsidP="008E46D7">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8E46D7" w:rsidTr="007B05FA">
        <w:trPr>
          <w:trHeight w:hRule="exact" w:val="814"/>
        </w:trPr>
        <w:tc>
          <w:tcPr>
            <w:tcW w:w="2541" w:type="dxa"/>
            <w:shd w:val="clear" w:color="auto" w:fill="FFFFFF"/>
            <w:vAlign w:val="center"/>
          </w:tcPr>
          <w:p w:rsidR="008E46D7" w:rsidRDefault="008E46D7" w:rsidP="006F1ABA">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8E46D7" w:rsidRDefault="008E46D7" w:rsidP="006F1ABA">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8E46D7" w:rsidRDefault="008E46D7" w:rsidP="006F1ABA">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8E46D7" w:rsidRDefault="008E46D7" w:rsidP="006F1ABA">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8E46D7" w:rsidRDefault="008E46D7" w:rsidP="006F1ABA">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8E46D7" w:rsidRDefault="008E46D7" w:rsidP="006F1ABA">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8E46D7" w:rsidRDefault="008E46D7" w:rsidP="006F1ABA">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8E46D7" w:rsidRDefault="008E46D7" w:rsidP="006F1ABA">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8E46D7" w:rsidRDefault="008E46D7" w:rsidP="006F1ABA">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8E46D7" w:rsidRDefault="008E46D7" w:rsidP="006F1ABA">
            <w:pPr>
              <w:spacing w:beforeLines="50" w:afterLines="50"/>
              <w:jc w:val="center"/>
              <w:rPr>
                <w:rFonts w:ascii="微软雅黑" w:eastAsia="微软雅黑" w:hAnsi="微软雅黑"/>
                <w:b/>
                <w:bCs/>
                <w:sz w:val="24"/>
                <w:lang w:val="en-GB"/>
              </w:rPr>
            </w:pPr>
          </w:p>
        </w:tc>
      </w:tr>
      <w:tr w:rsidR="008E46D7" w:rsidTr="007B05FA">
        <w:trPr>
          <w:trHeight w:hRule="exact" w:val="603"/>
        </w:trPr>
        <w:tc>
          <w:tcPr>
            <w:tcW w:w="2541" w:type="dxa"/>
            <w:shd w:val="clear" w:color="auto" w:fill="FFFFFF"/>
            <w:vAlign w:val="center"/>
          </w:tcPr>
          <w:p w:rsidR="008E46D7" w:rsidRDefault="008E46D7" w:rsidP="007B05FA">
            <w:pPr>
              <w:spacing w:line="600" w:lineRule="exact"/>
              <w:jc w:val="center"/>
              <w:rPr>
                <w:rFonts w:ascii="微软雅黑" w:eastAsia="微软雅黑" w:hAnsi="微软雅黑"/>
                <w:sz w:val="24"/>
              </w:rPr>
            </w:pPr>
          </w:p>
        </w:tc>
        <w:tc>
          <w:tcPr>
            <w:tcW w:w="2120"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8E46D7" w:rsidRDefault="008E46D7" w:rsidP="007B05FA">
            <w:pPr>
              <w:spacing w:line="600" w:lineRule="exact"/>
              <w:jc w:val="center"/>
              <w:rPr>
                <w:rFonts w:ascii="微软雅黑" w:eastAsia="微软雅黑" w:hAnsi="微软雅黑"/>
                <w:sz w:val="24"/>
              </w:rPr>
            </w:pPr>
          </w:p>
        </w:tc>
      </w:tr>
      <w:tr w:rsidR="008E46D7" w:rsidTr="007B05FA">
        <w:trPr>
          <w:trHeight w:hRule="exact" w:val="562"/>
        </w:trPr>
        <w:tc>
          <w:tcPr>
            <w:tcW w:w="2541"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8E46D7" w:rsidRDefault="008E46D7" w:rsidP="007B05FA">
            <w:pPr>
              <w:spacing w:line="600" w:lineRule="exact"/>
              <w:jc w:val="center"/>
              <w:rPr>
                <w:rFonts w:ascii="微软雅黑" w:eastAsia="微软雅黑" w:hAnsi="微软雅黑"/>
                <w:bCs/>
                <w:sz w:val="24"/>
              </w:rPr>
            </w:pPr>
          </w:p>
        </w:tc>
      </w:tr>
      <w:tr w:rsidR="008E46D7" w:rsidTr="007B05FA">
        <w:trPr>
          <w:trHeight w:hRule="exact" w:val="580"/>
        </w:trPr>
        <w:tc>
          <w:tcPr>
            <w:tcW w:w="2541"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8E46D7" w:rsidRDefault="008E46D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E46D7" w:rsidRDefault="008E46D7"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8E46D7" w:rsidRDefault="008E46D7"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8E46D7" w:rsidRDefault="008E46D7" w:rsidP="007B05FA">
            <w:pPr>
              <w:spacing w:line="600" w:lineRule="exact"/>
              <w:jc w:val="center"/>
              <w:rPr>
                <w:rFonts w:ascii="微软雅黑" w:eastAsia="微软雅黑" w:hAnsi="微软雅黑"/>
                <w:bCs/>
                <w:sz w:val="24"/>
              </w:rPr>
            </w:pPr>
          </w:p>
        </w:tc>
      </w:tr>
    </w:tbl>
    <w:p w:rsidR="008E46D7" w:rsidRDefault="008E46D7" w:rsidP="008E46D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8E46D7" w:rsidRDefault="008E46D7" w:rsidP="008E46D7">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spacing w:line="460" w:lineRule="exact"/>
        <w:rPr>
          <w:rFonts w:ascii="微软雅黑" w:eastAsia="微软雅黑" w:hAnsi="微软雅黑" w:cs="微软雅黑"/>
          <w:sz w:val="24"/>
        </w:rPr>
      </w:pPr>
    </w:p>
    <w:p w:rsidR="008E46D7" w:rsidRDefault="008E46D7" w:rsidP="008E46D7">
      <w:pPr>
        <w:autoSpaceDN w:val="0"/>
        <w:spacing w:line="360" w:lineRule="auto"/>
        <w:rPr>
          <w:rFonts w:ascii="微软雅黑" w:eastAsia="微软雅黑" w:hAnsi="微软雅黑"/>
          <w:spacing w:val="-6"/>
          <w:sz w:val="18"/>
        </w:rPr>
      </w:pPr>
    </w:p>
    <w:p w:rsidR="006954A7" w:rsidRPr="008E46D7" w:rsidRDefault="006954A7">
      <w:bookmarkStart w:id="0" w:name="_GoBack"/>
      <w:bookmarkEnd w:id="0"/>
    </w:p>
    <w:sectPr w:rsidR="006954A7" w:rsidRPr="008E46D7" w:rsidSect="00D3120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D1" w:rsidRDefault="00F47ED1">
      <w:r>
        <w:separator/>
      </w:r>
    </w:p>
  </w:endnote>
  <w:endnote w:type="continuationSeparator" w:id="0">
    <w:p w:rsidR="00F47ED1" w:rsidRDefault="00F47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A7" w:rsidRDefault="0092657E">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D1" w:rsidRDefault="00F47ED1">
      <w:r>
        <w:separator/>
      </w:r>
    </w:p>
  </w:footnote>
  <w:footnote w:type="continuationSeparator" w:id="0">
    <w:p w:rsidR="00F47ED1" w:rsidRDefault="00F47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A7" w:rsidRDefault="0092657E">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7" w:rsidRDefault="008E46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58CB46A4"/>
    <w:multiLevelType w:val="singleLevel"/>
    <w:tmpl w:val="58CB46A4"/>
    <w:lvl w:ilvl="0">
      <w:start w:val="1"/>
      <w:numFmt w:val="chineseCounting"/>
      <w:suff w:val="nothing"/>
      <w:lvlText w:val="%1．"/>
      <w:lvlJc w:val="left"/>
    </w:lvl>
  </w:abstractNum>
  <w:abstractNum w:abstractNumId="2">
    <w:nsid w:val="58CB4746"/>
    <w:multiLevelType w:val="singleLevel"/>
    <w:tmpl w:val="58CB4746"/>
    <w:lvl w:ilvl="0">
      <w:start w:val="3"/>
      <w:numFmt w:val="chineseCounting"/>
      <w:suff w:val="nothing"/>
      <w:lvlText w:val="%1．"/>
      <w:lvlJc w:val="left"/>
    </w:lvl>
  </w:abstractNum>
  <w:abstractNum w:abstractNumId="3">
    <w:nsid w:val="58CB478D"/>
    <w:multiLevelType w:val="singleLevel"/>
    <w:tmpl w:val="58CB478D"/>
    <w:lvl w:ilvl="0">
      <w:start w:val="1"/>
      <w:numFmt w:val="chineseCounting"/>
      <w:suff w:val="nothing"/>
      <w:lvlText w:val="（%1）"/>
      <w:lvlJc w:val="left"/>
    </w:lvl>
  </w:abstractNum>
  <w:abstractNum w:abstractNumId="4">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8474B6"/>
    <w:rsid w:val="000378BB"/>
    <w:rsid w:val="006954A7"/>
    <w:rsid w:val="006F1ABA"/>
    <w:rsid w:val="008E46D7"/>
    <w:rsid w:val="0092657E"/>
    <w:rsid w:val="00BF72B2"/>
    <w:rsid w:val="00C06833"/>
    <w:rsid w:val="00D31204"/>
    <w:rsid w:val="00F47ED1"/>
    <w:rsid w:val="00FB79F9"/>
    <w:rsid w:val="0B8474B6"/>
    <w:rsid w:val="137E07F8"/>
    <w:rsid w:val="29F42D45"/>
    <w:rsid w:val="494D4DD5"/>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2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1204"/>
    <w:pPr>
      <w:tabs>
        <w:tab w:val="center" w:pos="4153"/>
        <w:tab w:val="right" w:pos="8306"/>
      </w:tabs>
      <w:snapToGrid w:val="0"/>
      <w:jc w:val="left"/>
    </w:pPr>
    <w:rPr>
      <w:sz w:val="18"/>
    </w:rPr>
  </w:style>
  <w:style w:type="paragraph" w:styleId="a4">
    <w:name w:val="header"/>
    <w:basedOn w:val="a"/>
    <w:link w:val="Char"/>
    <w:uiPriority w:val="99"/>
    <w:qFormat/>
    <w:rsid w:val="00D312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1204"/>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D3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FB79F9"/>
    <w:rPr>
      <w:sz w:val="18"/>
      <w:szCs w:val="18"/>
    </w:rPr>
  </w:style>
  <w:style w:type="character" w:customStyle="1" w:styleId="Char0">
    <w:name w:val="批注框文本 Char"/>
    <w:basedOn w:val="a0"/>
    <w:link w:val="a7"/>
    <w:rsid w:val="00FB79F9"/>
    <w:rPr>
      <w:rFonts w:asciiTheme="minorHAnsi" w:eastAsiaTheme="minorEastAsia" w:hAnsiTheme="minorHAnsi" w:cstheme="minorBidi"/>
      <w:kern w:val="2"/>
      <w:sz w:val="18"/>
      <w:szCs w:val="18"/>
    </w:rPr>
  </w:style>
  <w:style w:type="character" w:customStyle="1" w:styleId="Char">
    <w:name w:val="页眉 Char"/>
    <w:link w:val="a4"/>
    <w:uiPriority w:val="99"/>
    <w:rsid w:val="008E46D7"/>
    <w:rPr>
      <w:rFonts w:asciiTheme="minorHAnsi" w:eastAsiaTheme="minorEastAsia" w:hAnsiTheme="minorHAnsi" w:cstheme="minorBidi"/>
      <w:kern w:val="2"/>
      <w:sz w:val="18"/>
      <w:szCs w:val="24"/>
    </w:rPr>
  </w:style>
  <w:style w:type="paragraph" w:customStyle="1" w:styleId="2">
    <w:name w:val="2"/>
    <w:rsid w:val="008E46D7"/>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FB79F9"/>
    <w:rPr>
      <w:sz w:val="18"/>
      <w:szCs w:val="18"/>
    </w:rPr>
  </w:style>
  <w:style w:type="character" w:customStyle="1" w:styleId="Char0">
    <w:name w:val="批注框文本 Char"/>
    <w:basedOn w:val="a0"/>
    <w:link w:val="a7"/>
    <w:rsid w:val="00FB79F9"/>
    <w:rPr>
      <w:rFonts w:asciiTheme="minorHAnsi" w:eastAsiaTheme="minorEastAsia" w:hAnsiTheme="minorHAnsi" w:cstheme="minorBidi"/>
      <w:kern w:val="2"/>
      <w:sz w:val="18"/>
      <w:szCs w:val="18"/>
    </w:rPr>
  </w:style>
  <w:style w:type="character" w:customStyle="1" w:styleId="Char">
    <w:name w:val="页眉 Char"/>
    <w:link w:val="a4"/>
    <w:uiPriority w:val="99"/>
    <w:rsid w:val="008E46D7"/>
    <w:rPr>
      <w:rFonts w:asciiTheme="minorHAnsi" w:eastAsiaTheme="minorEastAsia" w:hAnsiTheme="minorHAnsi" w:cstheme="minorBidi"/>
      <w:kern w:val="2"/>
      <w:sz w:val="18"/>
      <w:szCs w:val="24"/>
    </w:rPr>
  </w:style>
  <w:style w:type="paragraph" w:customStyle="1" w:styleId="2">
    <w:name w:val="2"/>
    <w:rsid w:val="008E46D7"/>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12</Pages>
  <Words>852</Words>
  <Characters>4857</Characters>
  <Application>Microsoft Office Word</Application>
  <DocSecurity>0</DocSecurity>
  <Lines>40</Lines>
  <Paragraphs>11</Paragraphs>
  <ScaleCrop>false</ScaleCrop>
  <Company>Sky123.Org</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2018-06-22T06:06:00Z</dcterms:created>
  <dcterms:modified xsi:type="dcterms:W3CDTF">2018-08-30T01:44:00Z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