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rPr>
          <w:sz w:val="24"/>
          <w:szCs w:val="24"/>
        </w:rPr>
      </w:pPr>
    </w:p>
    <w:p>
      <w:pPr>
        <w:spacing w:line="360" w:lineRule="auto"/>
        <w:jc w:val="center"/>
        <w:rPr>
          <w:rFonts w:ascii="黑体" w:hAnsi="黑体" w:eastAsia="黑体"/>
          <w:color w:val="FF0000"/>
          <w:sz w:val="32"/>
          <w:szCs w:val="32"/>
        </w:rPr>
      </w:pPr>
      <w:r>
        <w:rPr>
          <w:rFonts w:hint="eastAsia" w:ascii="黑体" w:hAnsi="黑体" w:eastAsia="黑体"/>
          <w:color w:val="FF0000"/>
          <w:sz w:val="32"/>
          <w:szCs w:val="32"/>
        </w:rPr>
        <w:t>中国社会科学院研究生院</w:t>
      </w:r>
    </w:p>
    <w:p>
      <w:pPr>
        <w:spacing w:line="360" w:lineRule="auto"/>
        <w:jc w:val="center"/>
        <w:rPr>
          <w:rFonts w:ascii="黑体" w:hAnsi="黑体" w:eastAsia="黑体"/>
          <w:color w:val="FF0000"/>
          <w:sz w:val="28"/>
          <w:szCs w:val="28"/>
        </w:rPr>
      </w:pPr>
      <w:r>
        <w:rPr>
          <w:rFonts w:hint="eastAsia" w:ascii="黑体" w:hAnsi="黑体" w:eastAsia="黑体"/>
          <w:color w:val="FF0000"/>
          <w:sz w:val="28"/>
          <w:szCs w:val="28"/>
        </w:rPr>
        <w:t>高级课程研修班 企业管理专业 (深圳班)</w:t>
      </w:r>
    </w:p>
    <w:p>
      <w:pPr>
        <w:spacing w:line="360" w:lineRule="auto"/>
        <w:jc w:val="center"/>
        <w:rPr>
          <w:rFonts w:ascii="黑体" w:hAnsi="黑体" w:eastAsia="黑体"/>
          <w:color w:val="FF0000"/>
          <w:sz w:val="28"/>
          <w:szCs w:val="28"/>
        </w:rPr>
      </w:pPr>
    </w:p>
    <w:p>
      <w:pPr>
        <w:spacing w:line="360" w:lineRule="auto"/>
        <w:jc w:val="center"/>
        <w:rPr>
          <w:rFonts w:ascii="楷体" w:hAnsi="楷体" w:eastAsia="楷体"/>
          <w:b/>
          <w:sz w:val="24"/>
          <w:szCs w:val="24"/>
        </w:rPr>
      </w:pPr>
      <w:r>
        <w:rPr>
          <w:rFonts w:hint="eastAsia" w:ascii="楷体" w:hAnsi="楷体" w:eastAsia="楷体"/>
          <w:b/>
          <w:sz w:val="24"/>
          <w:szCs w:val="24"/>
        </w:rPr>
        <w:t>（符合条件可申博）</w:t>
      </w:r>
    </w:p>
    <w:p>
      <w:pPr>
        <w:spacing w:line="360" w:lineRule="auto"/>
        <w:ind w:firstLine="482" w:firstLineChars="200"/>
        <w:rPr>
          <w:rFonts w:ascii="楷体" w:hAnsi="楷体" w:eastAsia="楷体"/>
          <w:b/>
          <w:sz w:val="24"/>
          <w:szCs w:val="24"/>
        </w:rPr>
      </w:pPr>
    </w:p>
    <w:p>
      <w:pPr>
        <w:spacing w:line="360" w:lineRule="auto"/>
        <w:ind w:firstLine="482" w:firstLineChars="200"/>
        <w:rPr>
          <w:rFonts w:ascii="楷体" w:hAnsi="楷体" w:eastAsia="楷体"/>
          <w:b/>
          <w:sz w:val="24"/>
          <w:szCs w:val="24"/>
        </w:rPr>
      </w:pPr>
      <w:r>
        <w:rPr>
          <w:rFonts w:hint="eastAsia" w:ascii="楷体" w:hAnsi="楷体" w:eastAsia="楷体"/>
          <w:b/>
          <w:sz w:val="24"/>
          <w:szCs w:val="24"/>
        </w:rPr>
        <w:t>（根据国务院学位委员会、教育部（2013）36号文件，中国社科院研究生院自2014年起，原“在职博士课程班”更名为“高级课程班”，同等学力申请博士学位的管理办法目前不变）</w:t>
      </w:r>
    </w:p>
    <w:p>
      <w:pPr>
        <w:spacing w:line="360" w:lineRule="auto"/>
        <w:ind w:firstLine="482" w:firstLineChars="200"/>
        <w:rPr>
          <w:rFonts w:ascii="楷体" w:hAnsi="楷体" w:eastAsia="楷体"/>
          <w:b/>
          <w:sz w:val="24"/>
          <w:szCs w:val="24"/>
        </w:rPr>
      </w:pPr>
    </w:p>
    <w:p>
      <w:pPr>
        <w:spacing w:line="360" w:lineRule="auto"/>
        <w:ind w:firstLine="482" w:firstLineChars="200"/>
        <w:rPr>
          <w:rFonts w:ascii="楷体" w:hAnsi="楷体" w:eastAsia="楷体"/>
          <w:b/>
          <w:sz w:val="24"/>
          <w:szCs w:val="24"/>
        </w:rPr>
      </w:pPr>
      <w:r>
        <w:rPr>
          <w:rFonts w:hint="eastAsia" w:ascii="楷体" w:hAnsi="楷体" w:eastAsia="楷体"/>
          <w:b/>
          <w:sz w:val="24"/>
          <w:szCs w:val="24"/>
        </w:rPr>
        <w:t>中国社科院深圳教学中心高级课程研修班、DBA工商管理博士四大专业13个研究方向</w:t>
      </w:r>
    </w:p>
    <w:tbl>
      <w:tblPr>
        <w:tblStyle w:val="6"/>
        <w:tblW w:w="7777"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7"/>
        <w:gridCol w:w="4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3067" w:type="dxa"/>
            <w:shd w:val="clear" w:color="auto" w:fill="auto"/>
            <w:vAlign w:val="center"/>
          </w:tcPr>
          <w:p>
            <w:pPr>
              <w:spacing w:beforeLines="10" w:afterLines="10" w:line="288" w:lineRule="auto"/>
              <w:rPr>
                <w:rFonts w:ascii="华文细黑" w:hAnsi="华文细黑" w:eastAsia="华文细黑"/>
                <w:b/>
                <w:szCs w:val="24"/>
              </w:rPr>
            </w:pPr>
            <w:r>
              <w:rPr>
                <w:rFonts w:hint="eastAsia" w:ascii="华文细黑" w:hAnsi="华文细黑" w:eastAsia="华文细黑"/>
                <w:b/>
                <w:szCs w:val="24"/>
              </w:rPr>
              <w:t>DBA工商管理博士</w:t>
            </w:r>
          </w:p>
        </w:tc>
        <w:tc>
          <w:tcPr>
            <w:tcW w:w="4710" w:type="dxa"/>
            <w:shd w:val="clear" w:color="auto" w:fill="auto"/>
            <w:vAlign w:val="center"/>
          </w:tcPr>
          <w:p>
            <w:pPr>
              <w:spacing w:beforeLines="10" w:afterLines="10" w:line="288" w:lineRule="auto"/>
              <w:rPr>
                <w:rFonts w:ascii="华文细黑" w:hAnsi="华文细黑" w:eastAsia="华文细黑"/>
                <w:b/>
                <w:szCs w:val="24"/>
              </w:rPr>
            </w:pPr>
            <w:r>
              <w:rPr>
                <w:rFonts w:hint="eastAsia" w:ascii="华文细黑" w:hAnsi="华文细黑" w:eastAsia="华文细黑"/>
                <w:b/>
                <w:szCs w:val="24"/>
              </w:rPr>
              <w:t>☆金融与投资</w:t>
            </w:r>
          </w:p>
          <w:p>
            <w:pPr>
              <w:spacing w:beforeLines="10" w:afterLines="10" w:line="288" w:lineRule="auto"/>
              <w:rPr>
                <w:rFonts w:ascii="华文细黑" w:hAnsi="华文细黑" w:eastAsia="华文细黑"/>
                <w:b/>
                <w:szCs w:val="24"/>
              </w:rPr>
            </w:pPr>
            <w:r>
              <w:rPr>
                <w:rFonts w:hint="eastAsia" w:ascii="华文细黑" w:hAnsi="华文细黑" w:eastAsia="华文细黑"/>
                <w:b/>
                <w:szCs w:val="24"/>
              </w:rPr>
              <w:t>☆管理与创新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7" w:type="dxa"/>
            <w:shd w:val="clear" w:color="auto" w:fill="auto"/>
            <w:vAlign w:val="center"/>
          </w:tcPr>
          <w:p>
            <w:pPr>
              <w:spacing w:beforeLines="10" w:afterLines="10" w:line="288" w:lineRule="auto"/>
              <w:rPr>
                <w:rFonts w:ascii="华文细黑" w:hAnsi="华文细黑" w:eastAsia="华文细黑"/>
                <w:b/>
                <w:szCs w:val="24"/>
              </w:rPr>
            </w:pPr>
            <w:r>
              <w:rPr>
                <w:rFonts w:hint="eastAsia" w:ascii="华文细黑" w:hAnsi="华文细黑" w:eastAsia="华文细黑"/>
                <w:b/>
                <w:szCs w:val="24"/>
              </w:rPr>
              <w:t>企业</w:t>
            </w:r>
            <w:r>
              <w:rPr>
                <w:rFonts w:ascii="华文细黑" w:hAnsi="华文细黑" w:eastAsia="华文细黑"/>
                <w:b/>
                <w:szCs w:val="24"/>
              </w:rPr>
              <w:t>管理专业</w:t>
            </w:r>
          </w:p>
        </w:tc>
        <w:tc>
          <w:tcPr>
            <w:tcW w:w="4710" w:type="dxa"/>
            <w:shd w:val="clear" w:color="auto" w:fill="auto"/>
            <w:vAlign w:val="center"/>
          </w:tcPr>
          <w:p>
            <w:pPr>
              <w:spacing w:beforeLines="10" w:afterLines="10" w:line="288" w:lineRule="auto"/>
              <w:rPr>
                <w:rFonts w:ascii="华文细黑" w:hAnsi="华文细黑" w:eastAsia="华文细黑"/>
                <w:b/>
                <w:szCs w:val="24"/>
              </w:rPr>
            </w:pPr>
            <w:r>
              <w:rPr>
                <w:rFonts w:hint="eastAsia" w:ascii="华文细黑" w:hAnsi="华文细黑" w:eastAsia="华文细黑"/>
                <w:b/>
                <w:szCs w:val="24"/>
              </w:rPr>
              <w:t>☆企业管理与领导力</w:t>
            </w:r>
          </w:p>
          <w:p>
            <w:pPr>
              <w:spacing w:beforeLines="10" w:afterLines="10" w:line="288" w:lineRule="auto"/>
              <w:rPr>
                <w:rFonts w:ascii="华文细黑" w:hAnsi="华文细黑" w:eastAsia="华文细黑"/>
                <w:b/>
                <w:szCs w:val="24"/>
              </w:rPr>
            </w:pPr>
            <w:r>
              <w:rPr>
                <w:rFonts w:hint="eastAsia" w:ascii="华文细黑" w:hAnsi="华文细黑" w:eastAsia="华文细黑"/>
                <w:b/>
                <w:szCs w:val="24"/>
              </w:rPr>
              <w:t>☆企业创新与资本市场</w:t>
            </w:r>
          </w:p>
          <w:p>
            <w:pPr>
              <w:spacing w:beforeLines="10" w:afterLines="10" w:line="288" w:lineRule="auto"/>
              <w:rPr>
                <w:rFonts w:ascii="华文细黑" w:hAnsi="华文细黑" w:eastAsia="华文细黑"/>
                <w:b/>
                <w:szCs w:val="24"/>
              </w:rPr>
            </w:pPr>
            <w:r>
              <w:rPr>
                <w:rFonts w:hint="eastAsia" w:ascii="华文细黑" w:hAnsi="华文细黑" w:eastAsia="华文细黑"/>
                <w:b/>
                <w:szCs w:val="24"/>
              </w:rPr>
              <w:t>☆人力资本与战略管理</w:t>
            </w:r>
          </w:p>
          <w:p>
            <w:pPr>
              <w:spacing w:beforeLines="10" w:afterLines="10" w:line="288" w:lineRule="auto"/>
              <w:rPr>
                <w:rFonts w:ascii="华文细黑" w:hAnsi="华文细黑" w:eastAsia="华文细黑"/>
                <w:b/>
                <w:szCs w:val="24"/>
              </w:rPr>
            </w:pPr>
            <w:r>
              <w:rPr>
                <w:rFonts w:hint="eastAsia" w:ascii="华文细黑" w:hAnsi="华文细黑" w:eastAsia="华文细黑"/>
                <w:b/>
                <w:szCs w:val="24"/>
              </w:rPr>
              <w:t>☆管理哲学与领导艺术</w:t>
            </w:r>
          </w:p>
          <w:p>
            <w:pPr>
              <w:spacing w:beforeLines="10" w:afterLines="10" w:line="288" w:lineRule="auto"/>
              <w:rPr>
                <w:rFonts w:ascii="华文细黑" w:hAnsi="华文细黑" w:eastAsia="华文细黑"/>
                <w:b/>
                <w:szCs w:val="24"/>
              </w:rPr>
            </w:pPr>
            <w:r>
              <w:rPr>
                <w:rFonts w:hint="eastAsia" w:ascii="华文细黑" w:hAnsi="华文细黑" w:eastAsia="华文细黑"/>
                <w:b/>
                <w:szCs w:val="24"/>
              </w:rPr>
              <w:t>☆跨境电子商务与创新管理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3067" w:type="dxa"/>
            <w:shd w:val="clear" w:color="auto" w:fill="auto"/>
            <w:vAlign w:val="center"/>
          </w:tcPr>
          <w:p>
            <w:pPr>
              <w:spacing w:beforeLines="10" w:afterLines="10" w:line="288" w:lineRule="auto"/>
              <w:rPr>
                <w:rFonts w:ascii="华文细黑" w:hAnsi="华文细黑" w:eastAsia="华文细黑"/>
                <w:b/>
                <w:szCs w:val="24"/>
              </w:rPr>
            </w:pPr>
            <w:r>
              <w:rPr>
                <w:rFonts w:hint="eastAsia" w:ascii="华文细黑" w:hAnsi="华文细黑" w:eastAsia="华文细黑"/>
                <w:b/>
                <w:szCs w:val="24"/>
              </w:rPr>
              <w:t>金融学专业</w:t>
            </w:r>
          </w:p>
        </w:tc>
        <w:tc>
          <w:tcPr>
            <w:tcW w:w="4710" w:type="dxa"/>
            <w:shd w:val="clear" w:color="auto" w:fill="auto"/>
            <w:vAlign w:val="center"/>
          </w:tcPr>
          <w:p>
            <w:pPr>
              <w:spacing w:beforeLines="10" w:afterLines="10" w:line="288" w:lineRule="auto"/>
              <w:rPr>
                <w:rFonts w:ascii="华文细黑" w:hAnsi="华文细黑" w:eastAsia="华文细黑"/>
                <w:b/>
                <w:szCs w:val="24"/>
              </w:rPr>
            </w:pPr>
            <w:r>
              <w:rPr>
                <w:rFonts w:hint="eastAsia" w:ascii="华文细黑" w:hAnsi="华文细黑" w:eastAsia="华文细黑"/>
                <w:b/>
                <w:szCs w:val="24"/>
              </w:rPr>
              <w:t>☆金融学综合</w:t>
            </w:r>
          </w:p>
          <w:p>
            <w:pPr>
              <w:spacing w:beforeLines="10" w:afterLines="10" w:line="288" w:lineRule="auto"/>
              <w:rPr>
                <w:rFonts w:ascii="华文细黑" w:hAnsi="华文细黑" w:eastAsia="华文细黑"/>
                <w:b/>
                <w:szCs w:val="24"/>
              </w:rPr>
            </w:pPr>
            <w:r>
              <w:rPr>
                <w:rFonts w:hint="eastAsia" w:ascii="华文细黑" w:hAnsi="华文细黑" w:eastAsia="华文细黑"/>
                <w:b/>
                <w:szCs w:val="24"/>
              </w:rPr>
              <w:t>☆资本战略与投融资</w:t>
            </w:r>
          </w:p>
          <w:p>
            <w:pPr>
              <w:spacing w:beforeLines="10" w:afterLines="10" w:line="288" w:lineRule="auto"/>
              <w:rPr>
                <w:rFonts w:ascii="华文细黑" w:hAnsi="华文细黑" w:eastAsia="华文细黑"/>
                <w:b/>
                <w:szCs w:val="24"/>
              </w:rPr>
            </w:pPr>
            <w:r>
              <w:rPr>
                <w:rFonts w:hint="eastAsia" w:ascii="华文细黑" w:hAnsi="华文细黑" w:eastAsia="华文细黑"/>
                <w:b/>
                <w:szCs w:val="24"/>
              </w:rPr>
              <w:t>☆互联网金融与风险管理</w:t>
            </w:r>
          </w:p>
          <w:p>
            <w:pPr>
              <w:spacing w:beforeLines="10" w:afterLines="10" w:line="288" w:lineRule="auto"/>
              <w:rPr>
                <w:rFonts w:ascii="华文细黑" w:hAnsi="华文细黑" w:eastAsia="华文细黑"/>
                <w:b/>
                <w:szCs w:val="24"/>
              </w:rPr>
            </w:pPr>
            <w:r>
              <w:rPr>
                <w:rFonts w:hint="eastAsia" w:ascii="华文细黑" w:hAnsi="华文细黑" w:eastAsia="华文细黑"/>
                <w:b/>
                <w:szCs w:val="24"/>
              </w:rPr>
              <w:t>☆私募股权与创业投资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3067" w:type="dxa"/>
            <w:shd w:val="clear" w:color="auto" w:fill="auto"/>
            <w:vAlign w:val="center"/>
          </w:tcPr>
          <w:p>
            <w:pPr>
              <w:spacing w:beforeLines="10" w:afterLines="10" w:line="288" w:lineRule="auto"/>
              <w:rPr>
                <w:rFonts w:ascii="华文细黑" w:hAnsi="华文细黑" w:eastAsia="华文细黑"/>
                <w:b/>
                <w:szCs w:val="24"/>
              </w:rPr>
            </w:pPr>
            <w:r>
              <w:rPr>
                <w:rFonts w:hint="eastAsia" w:ascii="华文细黑" w:hAnsi="华文细黑" w:eastAsia="华文细黑"/>
                <w:b/>
                <w:szCs w:val="24"/>
              </w:rPr>
              <w:t>国学</w:t>
            </w:r>
          </w:p>
        </w:tc>
        <w:tc>
          <w:tcPr>
            <w:tcW w:w="4710" w:type="dxa"/>
            <w:shd w:val="clear" w:color="auto" w:fill="auto"/>
            <w:vAlign w:val="center"/>
          </w:tcPr>
          <w:p>
            <w:pPr>
              <w:spacing w:beforeLines="10" w:afterLines="10" w:line="288" w:lineRule="auto"/>
              <w:rPr>
                <w:rFonts w:ascii="华文细黑" w:hAnsi="华文细黑" w:eastAsia="华文细黑"/>
                <w:b/>
                <w:szCs w:val="24"/>
              </w:rPr>
            </w:pPr>
            <w:r>
              <w:rPr>
                <w:rFonts w:hint="eastAsia" w:ascii="华文细黑" w:hAnsi="华文细黑" w:eastAsia="华文细黑"/>
                <w:b/>
                <w:szCs w:val="24"/>
              </w:rPr>
              <w:t>☆国学智慧</w:t>
            </w:r>
          </w:p>
          <w:p>
            <w:pPr>
              <w:spacing w:beforeLines="10" w:afterLines="10" w:line="288" w:lineRule="auto"/>
              <w:rPr>
                <w:rFonts w:ascii="华文细黑" w:hAnsi="华文细黑" w:eastAsia="华文细黑"/>
                <w:b/>
                <w:szCs w:val="24"/>
              </w:rPr>
            </w:pPr>
            <w:r>
              <w:rPr>
                <w:rFonts w:hint="eastAsia" w:ascii="华文细黑" w:hAnsi="华文细黑" w:eastAsia="华文细黑"/>
                <w:b/>
                <w:szCs w:val="24"/>
              </w:rPr>
              <w:t>☆国学研究与人生哲学</w:t>
            </w:r>
          </w:p>
          <w:p>
            <w:pPr>
              <w:spacing w:beforeLines="10" w:afterLines="10" w:line="288" w:lineRule="auto"/>
              <w:rPr>
                <w:rFonts w:ascii="华文细黑" w:hAnsi="华文细黑" w:eastAsia="华文细黑"/>
                <w:b/>
                <w:szCs w:val="24"/>
              </w:rPr>
            </w:pPr>
            <w:r>
              <w:rPr>
                <w:rFonts w:hint="eastAsia" w:ascii="华文细黑" w:hAnsi="华文细黑" w:eastAsia="华文细黑"/>
                <w:b/>
                <w:szCs w:val="24"/>
              </w:rPr>
              <w:t>☆国学智慧与领导艺术</w:t>
            </w:r>
          </w:p>
        </w:tc>
      </w:tr>
    </w:tbl>
    <w:p>
      <w:pPr>
        <w:spacing w:line="360" w:lineRule="auto"/>
        <w:ind w:firstLine="482" w:firstLineChars="200"/>
        <w:rPr>
          <w:rFonts w:ascii="楷体" w:hAnsi="楷体" w:eastAsia="楷体"/>
          <w:b/>
          <w:sz w:val="24"/>
          <w:szCs w:val="24"/>
        </w:rPr>
      </w:pPr>
    </w:p>
    <w:p>
      <w:pPr>
        <w:spacing w:beforeLines="30" w:afterLines="30" w:line="288" w:lineRule="auto"/>
        <w:ind w:firstLine="643" w:firstLineChars="200"/>
        <w:rPr>
          <w:rFonts w:ascii="黑体" w:hAnsi="黑体" w:eastAsia="黑体" w:cs="Times New Roman"/>
          <w:b/>
          <w:sz w:val="32"/>
          <w:szCs w:val="28"/>
        </w:rPr>
      </w:pPr>
      <w:r>
        <w:rPr>
          <w:rFonts w:hint="eastAsia" w:ascii="黑体" w:hAnsi="黑体" w:eastAsia="黑体" w:cs="Times New Roman"/>
          <w:b/>
          <w:sz w:val="32"/>
          <w:szCs w:val="28"/>
        </w:rPr>
        <w:t>一、中国社科院与中国社科院研究生院简介</w:t>
      </w:r>
    </w:p>
    <w:p>
      <w:pPr>
        <w:spacing w:beforeLines="30" w:afterLines="30" w:line="288" w:lineRule="auto"/>
        <w:ind w:firstLine="562" w:firstLineChars="200"/>
        <w:rPr>
          <w:rFonts w:ascii="黑体" w:hAnsi="黑体" w:eastAsia="黑体" w:cs="Times New Roman"/>
          <w:b/>
          <w:sz w:val="28"/>
          <w:szCs w:val="28"/>
        </w:rPr>
      </w:pPr>
      <w:r>
        <w:rPr>
          <w:rFonts w:hint="eastAsia" w:ascii="黑体" w:hAnsi="黑体" w:eastAsia="黑体" w:cs="Times New Roman"/>
          <w:b/>
          <w:sz w:val="28"/>
          <w:szCs w:val="28"/>
        </w:rPr>
        <w:t>1、中国社科院</w:t>
      </w:r>
    </w:p>
    <w:p>
      <w:pPr>
        <w:spacing w:line="360" w:lineRule="auto"/>
        <w:ind w:firstLine="480" w:firstLineChars="200"/>
        <w:rPr>
          <w:sz w:val="24"/>
          <w:szCs w:val="24"/>
        </w:rPr>
      </w:pPr>
      <w:r>
        <w:rPr>
          <w:rFonts w:hint="eastAsia"/>
          <w:sz w:val="24"/>
          <w:szCs w:val="24"/>
        </w:rPr>
        <w:t>中国社科院是中国人文社会科学最高学术机构，国家的思想库、智囊团。</w:t>
      </w:r>
    </w:p>
    <w:p>
      <w:pPr>
        <w:spacing w:line="360" w:lineRule="auto"/>
        <w:ind w:firstLine="480" w:firstLineChars="200"/>
        <w:rPr>
          <w:sz w:val="24"/>
          <w:szCs w:val="24"/>
        </w:rPr>
      </w:pPr>
      <w:r>
        <w:rPr>
          <w:rFonts w:hint="eastAsia"/>
          <w:sz w:val="24"/>
          <w:szCs w:val="24"/>
        </w:rPr>
        <w:t>▲国务院直属，和教育部平级的院校（中国科学院与我们属于同一种情况）</w:t>
      </w:r>
    </w:p>
    <w:p>
      <w:pPr>
        <w:spacing w:line="360" w:lineRule="auto"/>
        <w:ind w:firstLine="480" w:firstLineChars="200"/>
        <w:rPr>
          <w:sz w:val="24"/>
          <w:szCs w:val="24"/>
        </w:rPr>
      </w:pPr>
      <w:r>
        <w:rPr>
          <w:rFonts w:hint="eastAsia"/>
          <w:sz w:val="24"/>
          <w:szCs w:val="24"/>
        </w:rPr>
        <w:t>▲五大学部，40个研究院所。全院有二三级学科近300个，其中国家重点学科120个。</w:t>
      </w:r>
    </w:p>
    <w:p>
      <w:pPr>
        <w:spacing w:line="360" w:lineRule="auto"/>
        <w:ind w:firstLine="480" w:firstLineChars="200"/>
        <w:rPr>
          <w:sz w:val="24"/>
          <w:szCs w:val="24"/>
        </w:rPr>
      </w:pPr>
      <w:r>
        <w:rPr>
          <w:rFonts w:hint="eastAsia"/>
          <w:sz w:val="24"/>
          <w:szCs w:val="24"/>
        </w:rPr>
        <w:t>▲全院总人数4200余人，其中高级专业人员1676名，学部委员61人、荣誉学部委员133人。</w:t>
      </w:r>
    </w:p>
    <w:p>
      <w:pPr>
        <w:spacing w:line="360" w:lineRule="auto"/>
        <w:ind w:firstLine="480" w:firstLineChars="200"/>
        <w:rPr>
          <w:sz w:val="24"/>
          <w:szCs w:val="24"/>
        </w:rPr>
      </w:pPr>
      <w:r>
        <w:rPr>
          <w:rFonts w:hint="eastAsia"/>
          <w:sz w:val="24"/>
          <w:szCs w:val="24"/>
        </w:rPr>
        <w:t>▲在美国宾夕法尼亚大学发布的《2014全球智库报告》中，中国社会科学院以第27名的成绩跻身“全球智库50强”，并蝉联“亚洲最高智库”。</w:t>
      </w:r>
    </w:p>
    <w:p>
      <w:pPr>
        <w:spacing w:line="360" w:lineRule="auto"/>
        <w:ind w:firstLine="480" w:firstLineChars="200"/>
        <w:rPr>
          <w:sz w:val="24"/>
          <w:szCs w:val="24"/>
        </w:rPr>
      </w:pPr>
      <w:r>
        <w:rPr>
          <w:rFonts w:hint="eastAsia"/>
          <w:sz w:val="24"/>
          <w:szCs w:val="24"/>
        </w:rPr>
        <w:t>▲设有金融所、财经战略研究院、经济研究所、工业经济研究所、人口与劳动经济研究所、法学研究所、新闻传播研究所等专业研究机构.</w:t>
      </w:r>
    </w:p>
    <w:p>
      <w:pPr>
        <w:spacing w:line="360" w:lineRule="auto"/>
        <w:ind w:firstLine="480" w:firstLineChars="200"/>
        <w:rPr>
          <w:sz w:val="24"/>
          <w:szCs w:val="24"/>
        </w:rPr>
      </w:pPr>
      <w:r>
        <w:rPr>
          <w:rFonts w:hint="eastAsia"/>
          <w:sz w:val="24"/>
          <w:szCs w:val="24"/>
        </w:rPr>
        <w:t>▲截至到2014年，我院共派出31人次专家学者为中央政治局集体授课，遥遥领先于其他大学和研究机构（其余高校中最多的是10人左右）。</w:t>
      </w:r>
    </w:p>
    <w:p>
      <w:pPr>
        <w:spacing w:line="360" w:lineRule="auto"/>
        <w:ind w:firstLine="480" w:firstLineChars="200"/>
        <w:rPr>
          <w:sz w:val="24"/>
          <w:szCs w:val="24"/>
        </w:rPr>
      </w:pPr>
      <w:r>
        <w:rPr>
          <w:rFonts w:hint="eastAsia"/>
          <w:sz w:val="24"/>
          <w:szCs w:val="24"/>
        </w:rPr>
        <w:t>2、中国社科院研究生院</w:t>
      </w:r>
    </w:p>
    <w:p>
      <w:pPr>
        <w:spacing w:line="360" w:lineRule="auto"/>
        <w:ind w:firstLine="480" w:firstLineChars="200"/>
        <w:rPr>
          <w:sz w:val="24"/>
          <w:szCs w:val="24"/>
        </w:rPr>
      </w:pPr>
      <w:r>
        <w:rPr>
          <w:rFonts w:hint="eastAsia"/>
          <w:sz w:val="24"/>
          <w:szCs w:val="24"/>
        </w:rPr>
        <w:t>我国第一所人文社会科学研究生院，国内最佳人文社科研究生院。</w:t>
      </w:r>
    </w:p>
    <w:p>
      <w:pPr>
        <w:spacing w:line="360" w:lineRule="auto"/>
        <w:ind w:firstLine="480" w:firstLineChars="200"/>
        <w:rPr>
          <w:sz w:val="24"/>
          <w:szCs w:val="24"/>
        </w:rPr>
      </w:pPr>
      <w:r>
        <w:rPr>
          <w:rFonts w:hint="eastAsia"/>
          <w:sz w:val="24"/>
          <w:szCs w:val="24"/>
        </w:rPr>
        <w:t>▲起点高。中国社科院研究生院，唯一一所硕士起点高校，学院无专科、本科阶段教育，只招收博士研究生和硕士研究生，均为研究生教育。</w:t>
      </w:r>
    </w:p>
    <w:p>
      <w:pPr>
        <w:spacing w:line="360" w:lineRule="auto"/>
        <w:ind w:firstLine="480" w:firstLineChars="200"/>
        <w:rPr>
          <w:sz w:val="24"/>
          <w:szCs w:val="24"/>
        </w:rPr>
      </w:pPr>
      <w:r>
        <w:rPr>
          <w:rFonts w:hint="eastAsia"/>
          <w:sz w:val="24"/>
          <w:szCs w:val="24"/>
        </w:rPr>
        <w:t>▲排名领先。在中国管理科学研究院《中国大学评价》课题组公布的《中国大学研究生院评价》报告中，中国社会科学院是国内最佳人文社科研究生院，学科排名：</w:t>
      </w:r>
    </w:p>
    <w:p>
      <w:pPr>
        <w:spacing w:line="360" w:lineRule="auto"/>
        <w:ind w:firstLine="480" w:firstLineChars="200"/>
        <w:rPr>
          <w:sz w:val="24"/>
          <w:szCs w:val="24"/>
        </w:rPr>
      </w:pPr>
      <w:r>
        <w:rPr>
          <w:rFonts w:hint="eastAsia"/>
          <w:sz w:val="24"/>
          <w:szCs w:val="24"/>
        </w:rPr>
        <w:t>●经济学（金融学）、哲学、历史学第一</w:t>
      </w:r>
    </w:p>
    <w:p>
      <w:pPr>
        <w:spacing w:line="360" w:lineRule="auto"/>
        <w:ind w:firstLine="480" w:firstLineChars="200"/>
        <w:rPr>
          <w:sz w:val="24"/>
          <w:szCs w:val="24"/>
        </w:rPr>
      </w:pPr>
      <w:r>
        <w:rPr>
          <w:rFonts w:hint="eastAsia"/>
          <w:sz w:val="24"/>
          <w:szCs w:val="24"/>
        </w:rPr>
        <w:t>●法学、社会学、文学第二</w:t>
      </w:r>
    </w:p>
    <w:p>
      <w:pPr>
        <w:spacing w:line="360" w:lineRule="auto"/>
        <w:ind w:firstLine="480" w:firstLineChars="200"/>
        <w:rPr>
          <w:sz w:val="24"/>
          <w:szCs w:val="24"/>
        </w:rPr>
      </w:pPr>
      <w:r>
        <w:rPr>
          <w:rFonts w:hint="eastAsia"/>
          <w:sz w:val="24"/>
          <w:szCs w:val="24"/>
        </w:rPr>
        <w:t>▲我国首批博士学位和硕士学位授予单位</w:t>
      </w:r>
    </w:p>
    <w:p>
      <w:pPr>
        <w:spacing w:line="360" w:lineRule="auto"/>
        <w:ind w:firstLine="480" w:firstLineChars="200"/>
        <w:rPr>
          <w:sz w:val="24"/>
          <w:szCs w:val="24"/>
        </w:rPr>
      </w:pPr>
      <w:r>
        <w:rPr>
          <w:rFonts w:hint="eastAsia"/>
          <w:sz w:val="24"/>
          <w:szCs w:val="24"/>
        </w:rPr>
        <w:t>●一级学科博士学位授权点15个、硕士学位授权点17个</w:t>
      </w:r>
    </w:p>
    <w:p>
      <w:pPr>
        <w:spacing w:line="360" w:lineRule="auto"/>
        <w:ind w:firstLine="480" w:firstLineChars="200"/>
        <w:rPr>
          <w:sz w:val="24"/>
          <w:szCs w:val="24"/>
        </w:rPr>
      </w:pPr>
      <w:r>
        <w:rPr>
          <w:rFonts w:hint="eastAsia"/>
          <w:sz w:val="24"/>
          <w:szCs w:val="24"/>
        </w:rPr>
        <w:t>●二级学科博士学位授权点103个、硕士学位授权点109个</w:t>
      </w:r>
    </w:p>
    <w:p>
      <w:pPr>
        <w:spacing w:line="360" w:lineRule="auto"/>
        <w:ind w:firstLine="480" w:firstLineChars="200"/>
        <w:rPr>
          <w:rFonts w:ascii="楷体" w:hAnsi="楷体" w:eastAsia="楷体"/>
          <w:b/>
          <w:sz w:val="24"/>
          <w:szCs w:val="24"/>
        </w:rPr>
      </w:pPr>
      <w:r>
        <w:rPr>
          <w:rFonts w:hint="eastAsia"/>
          <w:sz w:val="24"/>
          <w:szCs w:val="24"/>
        </w:rPr>
        <w:t>▲中国社科院有博士生导师470人、硕士生导师824人，绝大多数专业采取导师一带一的“师徒制”培养方式。</w:t>
      </w:r>
    </w:p>
    <w:p>
      <w:pPr>
        <w:spacing w:beforeLines="30" w:afterLines="30" w:line="288" w:lineRule="auto"/>
        <w:ind w:firstLine="643" w:firstLineChars="200"/>
        <w:rPr>
          <w:rFonts w:ascii="黑体" w:hAnsi="黑体" w:eastAsia="黑体" w:cs="Times New Roman"/>
          <w:b/>
          <w:sz w:val="32"/>
          <w:szCs w:val="28"/>
        </w:rPr>
      </w:pPr>
      <w:r>
        <w:rPr>
          <w:rFonts w:hint="eastAsia" w:ascii="黑体" w:hAnsi="黑体" w:eastAsia="黑体" w:cs="Times New Roman"/>
          <w:b/>
          <w:sz w:val="32"/>
          <w:szCs w:val="28"/>
        </w:rPr>
        <w:t>二、高级课程研修（可申博）</w:t>
      </w:r>
      <w:r>
        <w:rPr>
          <w:rFonts w:ascii="黑体" w:hAnsi="黑体" w:eastAsia="黑体" w:cs="Times New Roman"/>
          <w:b/>
          <w:sz w:val="32"/>
          <w:szCs w:val="28"/>
        </w:rPr>
        <w:t>项目特色</w:t>
      </w:r>
    </w:p>
    <w:p>
      <w:pPr>
        <w:spacing w:line="360" w:lineRule="auto"/>
        <w:ind w:firstLine="480" w:firstLineChars="200"/>
        <w:rPr>
          <w:sz w:val="24"/>
          <w:szCs w:val="24"/>
        </w:rPr>
      </w:pPr>
      <w:r>
        <w:rPr>
          <w:rFonts w:hint="eastAsia"/>
          <w:sz w:val="24"/>
          <w:szCs w:val="24"/>
        </w:rPr>
        <w:t>★为专业人士量身订制的教育项目</w:t>
      </w:r>
    </w:p>
    <w:p>
      <w:pPr>
        <w:spacing w:line="360" w:lineRule="auto"/>
        <w:ind w:firstLine="480" w:firstLineChars="200"/>
        <w:rPr>
          <w:sz w:val="24"/>
          <w:szCs w:val="24"/>
        </w:rPr>
      </w:pPr>
      <w:r>
        <w:rPr>
          <w:rFonts w:hint="eastAsia"/>
          <w:sz w:val="24"/>
          <w:szCs w:val="24"/>
        </w:rPr>
        <w:t>本课程专为接受过EMBA教育或其它硕士教育的专业人士所设计，为大家提供持续深入学习的平台，以进一步丰富和拓展已有知识结构；</w:t>
      </w:r>
    </w:p>
    <w:p>
      <w:pPr>
        <w:spacing w:line="360" w:lineRule="auto"/>
        <w:ind w:firstLine="480" w:firstLineChars="200"/>
        <w:rPr>
          <w:sz w:val="24"/>
          <w:szCs w:val="24"/>
        </w:rPr>
      </w:pPr>
      <w:r>
        <w:rPr>
          <w:rFonts w:hint="eastAsia"/>
          <w:sz w:val="24"/>
          <w:szCs w:val="24"/>
        </w:rPr>
        <w:t>★阵容强大的师资队伍</w:t>
      </w:r>
    </w:p>
    <w:p>
      <w:pPr>
        <w:spacing w:line="360" w:lineRule="auto"/>
        <w:ind w:firstLine="480" w:firstLineChars="200"/>
        <w:rPr>
          <w:sz w:val="24"/>
          <w:szCs w:val="24"/>
        </w:rPr>
      </w:pPr>
      <w:r>
        <w:rPr>
          <w:rFonts w:hint="eastAsia"/>
          <w:sz w:val="24"/>
          <w:szCs w:val="24"/>
        </w:rPr>
        <w:t>课程依托中国管理学泰斗马洪、蒋一苇先生创立的、国内企业管理研究权威机构——中国社会科学院工业经济研究所，聘请包括多次为中央政治局集体学习授课的中国社会科学院学部委员、所长在内的国内外权威经济、管理专家组成教师团队，为学员打国内超一流水准的前沿高级管理研修课程。</w:t>
      </w:r>
    </w:p>
    <w:p>
      <w:pPr>
        <w:spacing w:line="360" w:lineRule="auto"/>
        <w:ind w:firstLine="480" w:firstLineChars="200"/>
        <w:rPr>
          <w:sz w:val="24"/>
          <w:szCs w:val="24"/>
        </w:rPr>
      </w:pPr>
      <w:r>
        <w:rPr>
          <w:rFonts w:hint="eastAsia"/>
          <w:sz w:val="24"/>
          <w:szCs w:val="24"/>
        </w:rPr>
        <w:t>本项目将安排中国社科院研究生院数位具有极高学术声誉和社会影响力的著名学者、博导授课（其中多位担任过中央政治局集体学习授课专家）。专家学者大多来自中国社科院经济学部所属各个研究所：工业经济研究所、经济研究所、金融研究所、财贸研究所、数量经济与技术研究所等（作为中国社科院五个学部之一的经济学部，共有12名学部委员、17名荣誉学部委员）；此外，还将在其他著名高校和中央部委选聘一批理论功底深厚、授课经验丰富的教授或学者型领导参与授课.</w:t>
      </w:r>
    </w:p>
    <w:p>
      <w:pPr>
        <w:spacing w:line="360" w:lineRule="auto"/>
        <w:ind w:firstLine="480" w:firstLineChars="200"/>
        <w:rPr>
          <w:sz w:val="24"/>
          <w:szCs w:val="24"/>
        </w:rPr>
      </w:pPr>
      <w:r>
        <w:rPr>
          <w:rFonts w:hint="eastAsia"/>
          <w:sz w:val="24"/>
          <w:szCs w:val="24"/>
        </w:rPr>
        <w:t>★独具特色的课程结构</w:t>
      </w:r>
    </w:p>
    <w:p>
      <w:pPr>
        <w:spacing w:line="360" w:lineRule="auto"/>
        <w:ind w:firstLine="480" w:firstLineChars="200"/>
        <w:rPr>
          <w:sz w:val="24"/>
          <w:szCs w:val="24"/>
        </w:rPr>
      </w:pPr>
      <w:r>
        <w:rPr>
          <w:rFonts w:hint="eastAsia"/>
          <w:sz w:val="24"/>
          <w:szCs w:val="24"/>
        </w:rPr>
        <w:t>课程设计以研究生院企业管理专业高级研修课程方案为本源，在确保科学性与学术性的基础上，突出实用性、新颖性与前沿性</w:t>
      </w:r>
    </w:p>
    <w:p>
      <w:pPr>
        <w:spacing w:line="360" w:lineRule="auto"/>
        <w:ind w:firstLine="480" w:firstLineChars="200"/>
        <w:rPr>
          <w:sz w:val="24"/>
          <w:szCs w:val="24"/>
        </w:rPr>
      </w:pPr>
      <w:r>
        <w:rPr>
          <w:rFonts w:hint="eastAsia"/>
          <w:sz w:val="24"/>
          <w:szCs w:val="24"/>
        </w:rPr>
        <w:t>课程设计和教学注重宏观经济和政策、技术、消费习惯变化对产业环境、企业经营环境的影响，注重大型综合案例研究，采取课堂教学与现场教学相结合的方式，通过集中授课、论坛、研讨会等多种方式，为学员提供理论和实践密切结合的高级研修课程。</w:t>
      </w:r>
    </w:p>
    <w:p>
      <w:pPr>
        <w:spacing w:line="360" w:lineRule="auto"/>
        <w:ind w:firstLine="480" w:firstLineChars="200"/>
        <w:rPr>
          <w:sz w:val="24"/>
          <w:szCs w:val="24"/>
        </w:rPr>
      </w:pPr>
      <w:r>
        <w:rPr>
          <w:rFonts w:hint="eastAsia"/>
          <w:sz w:val="24"/>
          <w:szCs w:val="24"/>
        </w:rPr>
        <w:t>★内容丰富的学习安排</w:t>
      </w:r>
    </w:p>
    <w:p>
      <w:pPr>
        <w:spacing w:line="360" w:lineRule="auto"/>
        <w:ind w:firstLine="480" w:firstLineChars="200"/>
        <w:rPr>
          <w:sz w:val="24"/>
          <w:szCs w:val="24"/>
        </w:rPr>
      </w:pPr>
      <w:r>
        <w:rPr>
          <w:rFonts w:hint="eastAsia"/>
          <w:sz w:val="24"/>
          <w:szCs w:val="24"/>
        </w:rPr>
        <w:t>内容丰富的学习安排——除课堂授课外，还将在双向选择的前提下，安排指导教师对学员进行一对一的指导，为学员提供参加课题研究或学术活动的机会。</w:t>
      </w:r>
    </w:p>
    <w:p>
      <w:pPr>
        <w:spacing w:line="360" w:lineRule="auto"/>
        <w:ind w:firstLine="480" w:firstLineChars="200"/>
        <w:rPr>
          <w:sz w:val="24"/>
          <w:szCs w:val="24"/>
        </w:rPr>
      </w:pPr>
      <w:r>
        <w:rPr>
          <w:rFonts w:hint="eastAsia"/>
          <w:sz w:val="24"/>
          <w:szCs w:val="24"/>
        </w:rPr>
        <w:t>★高端智库讲座，对话名家大师</w:t>
      </w:r>
    </w:p>
    <w:p>
      <w:pPr>
        <w:spacing w:line="360" w:lineRule="auto"/>
        <w:ind w:firstLine="480" w:firstLineChars="200"/>
        <w:rPr>
          <w:sz w:val="24"/>
          <w:szCs w:val="24"/>
        </w:rPr>
      </w:pPr>
      <w:r>
        <w:rPr>
          <w:rFonts w:hint="eastAsia"/>
          <w:sz w:val="24"/>
          <w:szCs w:val="24"/>
        </w:rPr>
        <w:t>由中国社科院研究生院深圳教学中心主办的高端智库讲座，借助中国社科院在学术研究和国家政策咨询方面的优势，以讲座和论坛形式为国家的改革发展战略和深圳的创新进步服务。主讲嘉宾以国内外知名学者、国家各部委相关政策研究专家为主。</w:t>
      </w:r>
    </w:p>
    <w:p>
      <w:pPr>
        <w:spacing w:beforeLines="30" w:afterLines="30" w:line="288" w:lineRule="auto"/>
        <w:ind w:firstLine="643" w:firstLineChars="200"/>
        <w:rPr>
          <w:rFonts w:ascii="黑体" w:hAnsi="黑体" w:eastAsia="黑体" w:cs="Times New Roman"/>
          <w:b/>
          <w:sz w:val="32"/>
          <w:szCs w:val="28"/>
        </w:rPr>
      </w:pPr>
      <w:r>
        <w:rPr>
          <w:rFonts w:hint="eastAsia" w:ascii="黑体" w:hAnsi="黑体" w:eastAsia="黑体" w:cs="Times New Roman"/>
          <w:b/>
          <w:sz w:val="32"/>
          <w:szCs w:val="28"/>
        </w:rPr>
        <w:t>三、</w:t>
      </w:r>
      <w:r>
        <w:rPr>
          <w:rFonts w:ascii="黑体" w:hAnsi="黑体" w:eastAsia="黑体" w:cs="Times New Roman"/>
          <w:b/>
          <w:sz w:val="32"/>
          <w:szCs w:val="28"/>
        </w:rPr>
        <w:t>报名条件</w:t>
      </w:r>
    </w:p>
    <w:p>
      <w:pPr>
        <w:spacing w:line="360" w:lineRule="auto"/>
        <w:ind w:firstLine="480" w:firstLineChars="200"/>
        <w:rPr>
          <w:sz w:val="24"/>
          <w:szCs w:val="24"/>
        </w:rPr>
      </w:pPr>
      <w:r>
        <w:rPr>
          <w:rFonts w:hint="eastAsia"/>
          <w:sz w:val="24"/>
          <w:szCs w:val="24"/>
        </w:rPr>
        <w:t xml:space="preserve"> 1、拥有硕士学位或具备研究生同等学力（中级或中级以上职称），取得一定科研成果；只拥有学士学位者需由其上级主管单位开具推荐信，情况优秀者可酌情录取；</w:t>
      </w:r>
    </w:p>
    <w:p>
      <w:pPr>
        <w:spacing w:line="360" w:lineRule="auto"/>
        <w:ind w:firstLine="480" w:firstLineChars="200"/>
        <w:rPr>
          <w:sz w:val="24"/>
          <w:szCs w:val="24"/>
        </w:rPr>
      </w:pPr>
      <w:r>
        <w:rPr>
          <w:rFonts w:hint="eastAsia"/>
          <w:sz w:val="24"/>
          <w:szCs w:val="24"/>
        </w:rPr>
        <w:t>2、拥护中国共产党的领导，品德良好，遵纪守法，身体健康；</w:t>
      </w:r>
    </w:p>
    <w:p>
      <w:pPr>
        <w:spacing w:line="360" w:lineRule="auto"/>
        <w:ind w:firstLine="480" w:firstLineChars="200"/>
        <w:rPr>
          <w:sz w:val="24"/>
          <w:szCs w:val="24"/>
        </w:rPr>
      </w:pPr>
      <w:r>
        <w:rPr>
          <w:rFonts w:hint="eastAsia"/>
          <w:sz w:val="24"/>
          <w:szCs w:val="24"/>
        </w:rPr>
        <w:t>3、年龄一般不超过45周岁。</w:t>
      </w:r>
    </w:p>
    <w:p>
      <w:pPr>
        <w:spacing w:beforeLines="30" w:afterLines="30" w:line="288" w:lineRule="auto"/>
        <w:ind w:firstLine="643" w:firstLineChars="200"/>
        <w:rPr>
          <w:rFonts w:ascii="黑体" w:hAnsi="黑体" w:eastAsia="黑体" w:cs="Times New Roman"/>
          <w:b/>
          <w:sz w:val="32"/>
          <w:szCs w:val="28"/>
        </w:rPr>
      </w:pPr>
      <w:r>
        <w:rPr>
          <w:rFonts w:ascii="黑体" w:hAnsi="黑体" w:eastAsia="黑体" w:cs="Times New Roman"/>
          <w:b/>
          <w:sz w:val="32"/>
          <w:szCs w:val="28"/>
        </w:rPr>
        <w:t>四</w:t>
      </w:r>
      <w:r>
        <w:rPr>
          <w:rFonts w:hint="eastAsia" w:ascii="黑体" w:hAnsi="黑体" w:eastAsia="黑体" w:cs="Times New Roman"/>
          <w:b/>
          <w:sz w:val="32"/>
          <w:szCs w:val="28"/>
        </w:rPr>
        <w:t>、</w:t>
      </w:r>
      <w:r>
        <w:rPr>
          <w:rFonts w:ascii="黑体" w:hAnsi="黑体" w:eastAsia="黑体" w:cs="Times New Roman"/>
          <w:b/>
          <w:sz w:val="32"/>
          <w:szCs w:val="28"/>
        </w:rPr>
        <w:t>学习安排</w:t>
      </w:r>
    </w:p>
    <w:p>
      <w:pPr>
        <w:spacing w:line="360" w:lineRule="auto"/>
        <w:ind w:firstLine="480" w:firstLineChars="200"/>
        <w:rPr>
          <w:sz w:val="24"/>
          <w:szCs w:val="24"/>
        </w:rPr>
      </w:pPr>
      <w:r>
        <w:rPr>
          <w:rFonts w:hint="eastAsia"/>
          <w:sz w:val="24"/>
          <w:szCs w:val="24"/>
        </w:rPr>
        <w:t>●学制：总学制两年半，其中课程学习两年，课程论文撰写半年。</w:t>
      </w:r>
    </w:p>
    <w:p>
      <w:pPr>
        <w:spacing w:line="360" w:lineRule="auto"/>
        <w:ind w:firstLine="480" w:firstLineChars="200"/>
        <w:rPr>
          <w:sz w:val="24"/>
          <w:szCs w:val="24"/>
        </w:rPr>
      </w:pPr>
      <w:r>
        <w:rPr>
          <w:rFonts w:hint="eastAsia"/>
          <w:sz w:val="24"/>
          <w:szCs w:val="24"/>
        </w:rPr>
        <w:t>●学习时间：两年课程学习，每月利用周末集中授课一次，每次2天；每月高端智库讲座一次。</w:t>
      </w:r>
    </w:p>
    <w:p>
      <w:pPr>
        <w:spacing w:beforeLines="30" w:afterLines="30" w:line="288" w:lineRule="auto"/>
        <w:ind w:firstLine="643" w:firstLineChars="200"/>
        <w:rPr>
          <w:rFonts w:ascii="黑体" w:hAnsi="黑体" w:eastAsia="黑体" w:cs="Times New Roman"/>
          <w:b/>
          <w:sz w:val="32"/>
          <w:szCs w:val="28"/>
        </w:rPr>
      </w:pPr>
      <w:r>
        <w:rPr>
          <w:rFonts w:ascii="黑体" w:hAnsi="黑体" w:eastAsia="黑体" w:cs="Times New Roman"/>
          <w:b/>
          <w:sz w:val="32"/>
          <w:szCs w:val="28"/>
        </w:rPr>
        <w:t>五</w:t>
      </w:r>
      <w:r>
        <w:rPr>
          <w:rFonts w:hint="eastAsia" w:ascii="黑体" w:hAnsi="黑体" w:eastAsia="黑体" w:cs="Times New Roman"/>
          <w:b/>
          <w:sz w:val="32"/>
          <w:szCs w:val="28"/>
        </w:rPr>
        <w:t>、</w:t>
      </w:r>
      <w:r>
        <w:rPr>
          <w:rFonts w:ascii="黑体" w:hAnsi="黑体" w:eastAsia="黑体" w:cs="Times New Roman"/>
          <w:b/>
          <w:sz w:val="32"/>
          <w:szCs w:val="28"/>
        </w:rPr>
        <w:t>课程设置</w:t>
      </w:r>
    </w:p>
    <w:tbl>
      <w:tblPr>
        <w:tblStyle w:val="6"/>
        <w:tblW w:w="8247" w:type="dxa"/>
        <w:tblCellSpacing w:w="0" w:type="dxa"/>
        <w:tblInd w:w="0" w:type="dxa"/>
        <w:tblLayout w:type="fixed"/>
        <w:tblCellMar>
          <w:top w:w="120" w:type="dxa"/>
          <w:left w:w="15" w:type="dxa"/>
          <w:bottom w:w="15" w:type="dxa"/>
          <w:right w:w="15" w:type="dxa"/>
        </w:tblCellMar>
      </w:tblPr>
      <w:tblGrid>
        <w:gridCol w:w="734"/>
        <w:gridCol w:w="7513"/>
      </w:tblGrid>
      <w:tr>
        <w:tblPrEx>
          <w:tblCellMar>
            <w:top w:w="120" w:type="dxa"/>
            <w:left w:w="15" w:type="dxa"/>
            <w:bottom w:w="15" w:type="dxa"/>
            <w:right w:w="15" w:type="dxa"/>
          </w:tblCellMar>
        </w:tblPrEx>
        <w:trPr>
          <w:trHeight w:val="852" w:hRule="atLeast"/>
          <w:tblCellSpacing w:w="0" w:type="dxa"/>
        </w:trPr>
        <w:tc>
          <w:tcPr>
            <w:tcW w:w="734" w:type="dxa"/>
            <w:tcBorders>
              <w:top w:val="single" w:color="CAC9CB" w:sz="4" w:space="0"/>
              <w:left w:val="single" w:color="CAC9CB" w:sz="4" w:space="0"/>
              <w:bottom w:val="single" w:color="CAC9CB" w:sz="4" w:space="0"/>
              <w:right w:val="single" w:color="CAC9CB" w:sz="4" w:space="0"/>
            </w:tcBorders>
            <w:vAlign w:val="center"/>
          </w:tcPr>
          <w:p>
            <w:pPr>
              <w:widowControl/>
              <w:spacing w:line="360" w:lineRule="auto"/>
              <w:jc w:val="left"/>
              <w:rPr>
                <w:rFonts w:ascii="宋体" w:hAnsi="宋体" w:cs="宋体"/>
                <w:kern w:val="0"/>
              </w:rPr>
            </w:pPr>
            <w:r>
              <w:rPr>
                <w:rFonts w:ascii="宋体" w:hAnsi="宋体" w:cs="宋体"/>
                <w:bCs/>
                <w:kern w:val="0"/>
              </w:rPr>
              <w:t>公共基础课</w:t>
            </w:r>
          </w:p>
        </w:tc>
        <w:tc>
          <w:tcPr>
            <w:tcW w:w="7513" w:type="dxa"/>
            <w:tcBorders>
              <w:top w:val="single" w:color="DCDCDC" w:sz="4" w:space="0"/>
              <w:left w:val="nil"/>
              <w:bottom w:val="single" w:color="DCDCDC" w:sz="4" w:space="0"/>
              <w:right w:val="single" w:color="DCDCDC" w:sz="4" w:space="0"/>
            </w:tcBorders>
            <w:tcMar>
              <w:top w:w="120" w:type="dxa"/>
              <w:left w:w="240" w:type="dxa"/>
              <w:bottom w:w="15" w:type="dxa"/>
              <w:right w:w="15" w:type="dxa"/>
            </w:tcMar>
            <w:vAlign w:val="center"/>
          </w:tcPr>
          <w:p>
            <w:pPr>
              <w:widowControl/>
              <w:spacing w:line="360" w:lineRule="auto"/>
              <w:jc w:val="left"/>
              <w:rPr>
                <w:rFonts w:ascii="宋体" w:hAnsi="宋体" w:cs="宋体"/>
                <w:kern w:val="0"/>
              </w:rPr>
            </w:pPr>
            <w:r>
              <w:rPr>
                <w:rFonts w:ascii="Calibri" w:hAnsi="Calibri"/>
                <w:sz w:val="24"/>
                <w:szCs w:val="24"/>
              </w:rPr>
              <w:t>●</w:t>
            </w:r>
            <w:r>
              <w:rPr>
                <w:rFonts w:ascii="宋体" w:hAnsi="宋体" w:cs="宋体"/>
                <w:kern w:val="0"/>
              </w:rPr>
              <w:t>企业管理理论前沿  </w:t>
            </w:r>
            <w:r>
              <w:rPr>
                <w:rFonts w:ascii="Calibri" w:hAnsi="Calibri"/>
                <w:sz w:val="24"/>
                <w:szCs w:val="24"/>
              </w:rPr>
              <w:t>●</w:t>
            </w:r>
            <w:r>
              <w:rPr>
                <w:rFonts w:ascii="宋体" w:hAnsi="宋体" w:cs="宋体"/>
                <w:kern w:val="0"/>
              </w:rPr>
              <w:t>高级管理经济学  </w:t>
            </w:r>
            <w:r>
              <w:rPr>
                <w:rFonts w:ascii="Calibri" w:hAnsi="Calibri"/>
                <w:sz w:val="24"/>
                <w:szCs w:val="24"/>
              </w:rPr>
              <w:t>●</w:t>
            </w:r>
            <w:r>
              <w:rPr>
                <w:rFonts w:ascii="宋体" w:hAnsi="宋体" w:cs="宋体"/>
                <w:kern w:val="0"/>
              </w:rPr>
              <w:t>经济学前沿讲座  </w:t>
            </w:r>
          </w:p>
          <w:p>
            <w:pPr>
              <w:widowControl/>
              <w:spacing w:line="360" w:lineRule="auto"/>
              <w:jc w:val="left"/>
              <w:rPr>
                <w:rFonts w:ascii="宋体" w:hAnsi="宋体" w:cs="宋体"/>
                <w:kern w:val="0"/>
              </w:rPr>
            </w:pPr>
            <w:r>
              <w:rPr>
                <w:rFonts w:ascii="Calibri" w:hAnsi="Calibri"/>
                <w:sz w:val="24"/>
                <w:szCs w:val="24"/>
              </w:rPr>
              <w:t>●</w:t>
            </w:r>
            <w:r>
              <w:rPr>
                <w:rFonts w:ascii="宋体" w:hAnsi="宋体" w:cs="宋体"/>
                <w:kern w:val="0"/>
              </w:rPr>
              <w:t>宏观经济分析  </w:t>
            </w:r>
            <w:r>
              <w:rPr>
                <w:rFonts w:ascii="Calibri" w:hAnsi="Calibri"/>
                <w:sz w:val="24"/>
                <w:szCs w:val="24"/>
              </w:rPr>
              <w:t>●</w:t>
            </w:r>
            <w:r>
              <w:rPr>
                <w:rFonts w:ascii="宋体" w:hAnsi="宋体" w:cs="宋体"/>
                <w:kern w:val="0"/>
              </w:rPr>
              <w:t>高级产业经济学  </w:t>
            </w:r>
            <w:r>
              <w:rPr>
                <w:rFonts w:ascii="Calibri" w:hAnsi="Calibri"/>
                <w:sz w:val="24"/>
                <w:szCs w:val="24"/>
              </w:rPr>
              <w:t>●</w:t>
            </w:r>
            <w:r>
              <w:rPr>
                <w:rFonts w:ascii="宋体" w:hAnsi="宋体" w:cs="宋体"/>
                <w:kern w:val="0"/>
              </w:rPr>
              <w:t>管理研究方法/定量分析与模型构建</w:t>
            </w:r>
          </w:p>
        </w:tc>
      </w:tr>
      <w:tr>
        <w:tblPrEx>
          <w:tblCellMar>
            <w:top w:w="120" w:type="dxa"/>
            <w:left w:w="15" w:type="dxa"/>
            <w:bottom w:w="15" w:type="dxa"/>
            <w:right w:w="15" w:type="dxa"/>
          </w:tblCellMar>
        </w:tblPrEx>
        <w:trPr>
          <w:trHeight w:val="852" w:hRule="atLeast"/>
          <w:tblCellSpacing w:w="0" w:type="dxa"/>
        </w:trPr>
        <w:tc>
          <w:tcPr>
            <w:tcW w:w="734" w:type="dxa"/>
            <w:tcBorders>
              <w:top w:val="single" w:color="CAC9CB" w:sz="4" w:space="0"/>
              <w:left w:val="single" w:color="CAC9CB" w:sz="4" w:space="0"/>
              <w:bottom w:val="single" w:color="CAC9CB" w:sz="4" w:space="0"/>
              <w:right w:val="single" w:color="CAC9CB" w:sz="4" w:space="0"/>
            </w:tcBorders>
            <w:vAlign w:val="center"/>
          </w:tcPr>
          <w:p>
            <w:pPr>
              <w:widowControl/>
              <w:spacing w:line="360" w:lineRule="auto"/>
              <w:jc w:val="left"/>
              <w:rPr>
                <w:rFonts w:ascii="宋体" w:hAnsi="宋体" w:cs="宋体"/>
                <w:kern w:val="0"/>
              </w:rPr>
            </w:pPr>
            <w:r>
              <w:rPr>
                <w:rFonts w:ascii="宋体" w:hAnsi="宋体" w:cs="宋体"/>
                <w:bCs/>
                <w:kern w:val="0"/>
              </w:rPr>
              <w:t>专业课（选开）</w:t>
            </w:r>
          </w:p>
        </w:tc>
        <w:tc>
          <w:tcPr>
            <w:tcW w:w="7513" w:type="dxa"/>
            <w:tcBorders>
              <w:top w:val="single" w:color="DCDCDC" w:sz="4" w:space="0"/>
              <w:left w:val="nil"/>
              <w:bottom w:val="single" w:color="DCDCDC" w:sz="4" w:space="0"/>
              <w:right w:val="single" w:color="DCDCDC" w:sz="4" w:space="0"/>
            </w:tcBorders>
            <w:tcMar>
              <w:top w:w="120" w:type="dxa"/>
              <w:left w:w="240" w:type="dxa"/>
              <w:bottom w:w="15" w:type="dxa"/>
              <w:right w:w="15" w:type="dxa"/>
            </w:tcMar>
            <w:vAlign w:val="center"/>
          </w:tcPr>
          <w:p>
            <w:pPr>
              <w:widowControl/>
              <w:spacing w:line="360" w:lineRule="auto"/>
              <w:jc w:val="left"/>
              <w:rPr>
                <w:rFonts w:ascii="宋体" w:hAnsi="宋体" w:cs="宋体"/>
                <w:kern w:val="0"/>
              </w:rPr>
            </w:pPr>
            <w:r>
              <w:rPr>
                <w:rFonts w:ascii="Calibri" w:hAnsi="Calibri"/>
                <w:sz w:val="24"/>
                <w:szCs w:val="24"/>
              </w:rPr>
              <w:t>●</w:t>
            </w:r>
            <w:r>
              <w:rPr>
                <w:rFonts w:ascii="宋体" w:hAnsi="宋体" w:cs="宋体"/>
                <w:kern w:val="0"/>
              </w:rPr>
              <w:t>公司战略管理  </w:t>
            </w:r>
            <w:r>
              <w:rPr>
                <w:rFonts w:ascii="Calibri" w:hAnsi="Calibri"/>
                <w:sz w:val="24"/>
                <w:szCs w:val="24"/>
              </w:rPr>
              <w:t>●</w:t>
            </w:r>
            <w:r>
              <w:rPr>
                <w:rFonts w:ascii="宋体" w:hAnsi="宋体" w:cs="宋体"/>
                <w:kern w:val="0"/>
              </w:rPr>
              <w:t>公司治理与企业改革  </w:t>
            </w:r>
            <w:r>
              <w:rPr>
                <w:rFonts w:ascii="Calibri" w:hAnsi="Calibri"/>
                <w:sz w:val="24"/>
                <w:szCs w:val="24"/>
              </w:rPr>
              <w:t>●</w:t>
            </w:r>
            <w:r>
              <w:rPr>
                <w:rFonts w:ascii="宋体" w:hAnsi="宋体" w:cs="宋体"/>
                <w:kern w:val="0"/>
              </w:rPr>
              <w:t>企业竞争力分析  </w:t>
            </w:r>
          </w:p>
          <w:p>
            <w:pPr>
              <w:widowControl/>
              <w:spacing w:line="360" w:lineRule="auto"/>
              <w:jc w:val="left"/>
              <w:rPr>
                <w:rFonts w:ascii="宋体" w:hAnsi="宋体" w:cs="宋体"/>
                <w:kern w:val="0"/>
              </w:rPr>
            </w:pPr>
            <w:r>
              <w:rPr>
                <w:rFonts w:ascii="Calibri" w:hAnsi="Calibri"/>
                <w:sz w:val="24"/>
                <w:szCs w:val="24"/>
              </w:rPr>
              <w:t>●</w:t>
            </w:r>
            <w:r>
              <w:rPr>
                <w:rFonts w:ascii="宋体" w:hAnsi="宋体" w:cs="宋体"/>
                <w:kern w:val="0"/>
              </w:rPr>
              <w:t>企业运营管理  </w:t>
            </w:r>
            <w:r>
              <w:rPr>
                <w:rFonts w:ascii="Calibri" w:hAnsi="Calibri"/>
                <w:sz w:val="24"/>
                <w:szCs w:val="24"/>
              </w:rPr>
              <w:t>●</w:t>
            </w:r>
            <w:r>
              <w:rPr>
                <w:rFonts w:ascii="宋体" w:hAnsi="宋体" w:cs="宋体"/>
                <w:kern w:val="0"/>
              </w:rPr>
              <w:t>公司组织管理  </w:t>
            </w:r>
            <w:r>
              <w:rPr>
                <w:rFonts w:ascii="Calibri" w:hAnsi="Calibri"/>
                <w:sz w:val="24"/>
                <w:szCs w:val="24"/>
              </w:rPr>
              <w:t>●</w:t>
            </w:r>
            <w:r>
              <w:rPr>
                <w:rFonts w:ascii="宋体" w:hAnsi="宋体" w:cs="宋体"/>
                <w:kern w:val="0"/>
              </w:rPr>
              <w:t>公司理财与财务管理  </w:t>
            </w:r>
          </w:p>
          <w:p>
            <w:pPr>
              <w:widowControl/>
              <w:spacing w:line="360" w:lineRule="auto"/>
              <w:jc w:val="left"/>
              <w:rPr>
                <w:rFonts w:ascii="宋体" w:hAnsi="宋体" w:cs="宋体"/>
                <w:kern w:val="0"/>
              </w:rPr>
            </w:pPr>
            <w:r>
              <w:rPr>
                <w:rFonts w:ascii="Calibri" w:hAnsi="Calibri"/>
                <w:sz w:val="24"/>
                <w:szCs w:val="24"/>
              </w:rPr>
              <w:t>●</w:t>
            </w:r>
            <w:r>
              <w:rPr>
                <w:rFonts w:ascii="宋体" w:hAnsi="宋体" w:cs="宋体"/>
                <w:kern w:val="0"/>
              </w:rPr>
              <w:t>行业分析理论与方法  </w:t>
            </w:r>
            <w:r>
              <w:rPr>
                <w:rFonts w:ascii="Calibri" w:hAnsi="Calibri"/>
                <w:sz w:val="24"/>
                <w:szCs w:val="24"/>
              </w:rPr>
              <w:t>●</w:t>
            </w:r>
            <w:r>
              <w:rPr>
                <w:rFonts w:ascii="宋体" w:hAnsi="宋体" w:cs="宋体"/>
                <w:kern w:val="0"/>
              </w:rPr>
              <w:t>市场研究与营销管理  </w:t>
            </w:r>
            <w:r>
              <w:rPr>
                <w:rFonts w:ascii="Calibri" w:hAnsi="Calibri"/>
                <w:sz w:val="24"/>
                <w:szCs w:val="24"/>
              </w:rPr>
              <w:t>●</w:t>
            </w:r>
            <w:r>
              <w:rPr>
                <w:rFonts w:ascii="宋体" w:hAnsi="宋体" w:cs="宋体"/>
                <w:kern w:val="0"/>
              </w:rPr>
              <w:t>人力资源管理  </w:t>
            </w:r>
          </w:p>
          <w:p>
            <w:pPr>
              <w:widowControl/>
              <w:spacing w:line="360" w:lineRule="auto"/>
              <w:jc w:val="left"/>
              <w:rPr>
                <w:rFonts w:ascii="宋体" w:hAnsi="宋体" w:cs="宋体"/>
                <w:kern w:val="0"/>
              </w:rPr>
            </w:pPr>
            <w:r>
              <w:rPr>
                <w:rFonts w:ascii="Calibri" w:hAnsi="Calibri"/>
                <w:sz w:val="24"/>
                <w:szCs w:val="24"/>
              </w:rPr>
              <w:t>●</w:t>
            </w:r>
            <w:r>
              <w:rPr>
                <w:rFonts w:ascii="宋体" w:hAnsi="宋体" w:cs="宋体"/>
                <w:kern w:val="0"/>
              </w:rPr>
              <w:t>财务报表分析  </w:t>
            </w:r>
            <w:r>
              <w:rPr>
                <w:rFonts w:ascii="Calibri" w:hAnsi="Calibri"/>
                <w:sz w:val="24"/>
                <w:szCs w:val="24"/>
              </w:rPr>
              <w:t>●</w:t>
            </w:r>
            <w:r>
              <w:rPr>
                <w:rFonts w:ascii="宋体" w:hAnsi="宋体" w:cs="宋体"/>
                <w:kern w:val="0"/>
              </w:rPr>
              <w:t>高级项目管理/供应链管理  </w:t>
            </w:r>
            <w:r>
              <w:rPr>
                <w:rFonts w:ascii="Calibri" w:hAnsi="Calibri"/>
                <w:sz w:val="24"/>
                <w:szCs w:val="24"/>
              </w:rPr>
              <w:t>●</w:t>
            </w:r>
            <w:r>
              <w:rPr>
                <w:rFonts w:ascii="宋体" w:hAnsi="宋体" w:cs="宋体"/>
                <w:kern w:val="0"/>
              </w:rPr>
              <w:t xml:space="preserve">电子商务 </w:t>
            </w:r>
          </w:p>
        </w:tc>
      </w:tr>
      <w:tr>
        <w:tblPrEx>
          <w:tblCellMar>
            <w:top w:w="120" w:type="dxa"/>
            <w:left w:w="15" w:type="dxa"/>
            <w:bottom w:w="15" w:type="dxa"/>
            <w:right w:w="15" w:type="dxa"/>
          </w:tblCellMar>
        </w:tblPrEx>
        <w:trPr>
          <w:trHeight w:val="852" w:hRule="atLeast"/>
          <w:tblCellSpacing w:w="0" w:type="dxa"/>
        </w:trPr>
        <w:tc>
          <w:tcPr>
            <w:tcW w:w="734" w:type="dxa"/>
            <w:tcBorders>
              <w:top w:val="single" w:color="CAC9CB" w:sz="4" w:space="0"/>
              <w:left w:val="single" w:color="CAC9CB" w:sz="4" w:space="0"/>
              <w:bottom w:val="single" w:color="CAC9CB" w:sz="4" w:space="0"/>
              <w:right w:val="single" w:color="CAC9CB" w:sz="4" w:space="0"/>
            </w:tcBorders>
            <w:vAlign w:val="center"/>
          </w:tcPr>
          <w:p>
            <w:pPr>
              <w:widowControl/>
              <w:spacing w:line="360" w:lineRule="auto"/>
              <w:jc w:val="left"/>
              <w:rPr>
                <w:rFonts w:ascii="宋体" w:hAnsi="宋体" w:cs="宋体"/>
                <w:kern w:val="0"/>
              </w:rPr>
            </w:pPr>
            <w:r>
              <w:rPr>
                <w:rFonts w:ascii="宋体" w:hAnsi="宋体" w:cs="宋体"/>
                <w:bCs/>
                <w:kern w:val="0"/>
              </w:rPr>
              <w:t>专业选修课</w:t>
            </w:r>
          </w:p>
        </w:tc>
        <w:tc>
          <w:tcPr>
            <w:tcW w:w="7513" w:type="dxa"/>
            <w:tcBorders>
              <w:top w:val="single" w:color="DCDCDC" w:sz="4" w:space="0"/>
              <w:left w:val="nil"/>
              <w:bottom w:val="single" w:color="DCDCDC" w:sz="4" w:space="0"/>
              <w:right w:val="single" w:color="DCDCDC" w:sz="4" w:space="0"/>
            </w:tcBorders>
            <w:tcMar>
              <w:top w:w="120" w:type="dxa"/>
              <w:left w:w="240" w:type="dxa"/>
              <w:bottom w:w="15" w:type="dxa"/>
              <w:right w:w="15" w:type="dxa"/>
            </w:tcMar>
            <w:vAlign w:val="center"/>
          </w:tcPr>
          <w:p>
            <w:pPr>
              <w:widowControl/>
              <w:spacing w:line="360" w:lineRule="auto"/>
              <w:jc w:val="left"/>
              <w:rPr>
                <w:rFonts w:ascii="宋体" w:hAnsi="宋体" w:cs="宋体"/>
                <w:kern w:val="0"/>
              </w:rPr>
            </w:pPr>
            <w:r>
              <w:rPr>
                <w:rFonts w:ascii="Calibri" w:hAnsi="Calibri"/>
                <w:sz w:val="24"/>
                <w:szCs w:val="24"/>
              </w:rPr>
              <w:t>●</w:t>
            </w:r>
            <w:r>
              <w:rPr>
                <w:rFonts w:ascii="宋体" w:hAnsi="宋体" w:cs="宋体"/>
                <w:kern w:val="0"/>
              </w:rPr>
              <w:t>领导学  </w:t>
            </w:r>
            <w:r>
              <w:rPr>
                <w:rFonts w:ascii="Calibri" w:hAnsi="Calibri"/>
                <w:sz w:val="24"/>
                <w:szCs w:val="24"/>
              </w:rPr>
              <w:t>●</w:t>
            </w:r>
            <w:r>
              <w:rPr>
                <w:rFonts w:ascii="宋体" w:hAnsi="宋体" w:cs="宋体"/>
                <w:kern w:val="0"/>
              </w:rPr>
              <w:t>企业家精神与创新管理  </w:t>
            </w:r>
            <w:r>
              <w:rPr>
                <w:rFonts w:ascii="Calibri" w:hAnsi="Calibri"/>
                <w:sz w:val="24"/>
                <w:szCs w:val="24"/>
              </w:rPr>
              <w:t>●</w:t>
            </w:r>
            <w:r>
              <w:rPr>
                <w:rFonts w:ascii="宋体" w:hAnsi="宋体" w:cs="宋体"/>
                <w:kern w:val="0"/>
              </w:rPr>
              <w:t>新兴商业模式研究  </w:t>
            </w:r>
          </w:p>
          <w:p>
            <w:pPr>
              <w:widowControl/>
              <w:spacing w:line="360" w:lineRule="auto"/>
              <w:jc w:val="left"/>
              <w:rPr>
                <w:rFonts w:ascii="宋体" w:hAnsi="宋体" w:cs="宋体"/>
                <w:kern w:val="0"/>
              </w:rPr>
            </w:pPr>
            <w:r>
              <w:rPr>
                <w:rFonts w:ascii="Calibri" w:hAnsi="Calibri"/>
                <w:sz w:val="24"/>
                <w:szCs w:val="24"/>
              </w:rPr>
              <w:t>●</w:t>
            </w:r>
            <w:r>
              <w:rPr>
                <w:rFonts w:ascii="宋体" w:hAnsi="宋体" w:cs="宋体"/>
                <w:kern w:val="0"/>
              </w:rPr>
              <w:t>大数据时代营销管理  </w:t>
            </w:r>
            <w:r>
              <w:rPr>
                <w:rFonts w:ascii="Calibri" w:hAnsi="Calibri"/>
                <w:sz w:val="24"/>
                <w:szCs w:val="24"/>
              </w:rPr>
              <w:t>●</w:t>
            </w:r>
            <w:r>
              <w:rPr>
                <w:rFonts w:ascii="宋体" w:hAnsi="宋体" w:cs="宋体"/>
                <w:kern w:val="0"/>
              </w:rPr>
              <w:t>国学与企业文化  </w:t>
            </w:r>
            <w:r>
              <w:rPr>
                <w:rFonts w:ascii="Calibri" w:hAnsi="Calibri"/>
                <w:sz w:val="24"/>
                <w:szCs w:val="24"/>
              </w:rPr>
              <w:t>●</w:t>
            </w:r>
            <w:r>
              <w:rPr>
                <w:rFonts w:ascii="宋体" w:hAnsi="宋体" w:cs="宋体"/>
                <w:kern w:val="0"/>
              </w:rPr>
              <w:t>风险投资与企业上市  </w:t>
            </w:r>
          </w:p>
          <w:p>
            <w:pPr>
              <w:widowControl/>
              <w:spacing w:line="360" w:lineRule="auto"/>
              <w:jc w:val="left"/>
              <w:rPr>
                <w:rFonts w:ascii="宋体" w:hAnsi="宋体" w:cs="宋体"/>
                <w:kern w:val="0"/>
              </w:rPr>
            </w:pPr>
            <w:r>
              <w:rPr>
                <w:rFonts w:ascii="Calibri" w:hAnsi="Calibri"/>
                <w:sz w:val="24"/>
                <w:szCs w:val="24"/>
              </w:rPr>
              <w:t>●</w:t>
            </w:r>
            <w:r>
              <w:rPr>
                <w:rFonts w:ascii="宋体" w:hAnsi="宋体" w:cs="宋体"/>
                <w:kern w:val="0"/>
              </w:rPr>
              <w:t>项目融资与资产证券化  </w:t>
            </w:r>
            <w:r>
              <w:rPr>
                <w:rFonts w:ascii="Calibri" w:hAnsi="Calibri"/>
                <w:sz w:val="24"/>
                <w:szCs w:val="24"/>
              </w:rPr>
              <w:t>●</w:t>
            </w:r>
            <w:r>
              <w:rPr>
                <w:rFonts w:ascii="宋体" w:hAnsi="宋体" w:cs="宋体"/>
                <w:kern w:val="0"/>
              </w:rPr>
              <w:t>风险管理与内部控制  </w:t>
            </w:r>
            <w:r>
              <w:rPr>
                <w:rFonts w:ascii="Calibri" w:hAnsi="Calibri"/>
                <w:sz w:val="24"/>
                <w:szCs w:val="24"/>
              </w:rPr>
              <w:t>●</w:t>
            </w:r>
            <w:r>
              <w:rPr>
                <w:rFonts w:ascii="宋体" w:hAnsi="宋体" w:cs="宋体"/>
                <w:kern w:val="0"/>
              </w:rPr>
              <w:t>公司并购与重组  </w:t>
            </w:r>
          </w:p>
          <w:p>
            <w:pPr>
              <w:widowControl/>
              <w:spacing w:line="360" w:lineRule="auto"/>
              <w:jc w:val="left"/>
              <w:rPr>
                <w:rFonts w:ascii="宋体" w:hAnsi="宋体" w:cs="宋体"/>
                <w:kern w:val="0"/>
              </w:rPr>
            </w:pPr>
            <w:r>
              <w:rPr>
                <w:rFonts w:ascii="Calibri" w:hAnsi="Calibri"/>
                <w:sz w:val="24"/>
                <w:szCs w:val="24"/>
              </w:rPr>
              <w:t>●</w:t>
            </w:r>
            <w:r>
              <w:rPr>
                <w:rFonts w:ascii="宋体" w:hAnsi="宋体" w:cs="宋体"/>
                <w:kern w:val="0"/>
              </w:rPr>
              <w:t>房地产开发经营  </w:t>
            </w:r>
            <w:r>
              <w:rPr>
                <w:rFonts w:ascii="Calibri" w:hAnsi="Calibri"/>
                <w:sz w:val="24"/>
                <w:szCs w:val="24"/>
              </w:rPr>
              <w:t>●</w:t>
            </w:r>
            <w:r>
              <w:rPr>
                <w:rFonts w:ascii="宋体" w:hAnsi="宋体" w:cs="宋体"/>
                <w:kern w:val="0"/>
              </w:rPr>
              <w:t>风险资本和金融创新  </w:t>
            </w:r>
          </w:p>
          <w:p>
            <w:pPr>
              <w:widowControl/>
              <w:spacing w:line="360" w:lineRule="auto"/>
              <w:jc w:val="left"/>
              <w:rPr>
                <w:rFonts w:ascii="宋体" w:hAnsi="宋体" w:cs="宋体"/>
                <w:kern w:val="0"/>
              </w:rPr>
            </w:pPr>
            <w:r>
              <w:rPr>
                <w:rFonts w:ascii="Calibri" w:hAnsi="Calibri"/>
                <w:sz w:val="24"/>
                <w:szCs w:val="24"/>
              </w:rPr>
              <w:t>●</w:t>
            </w:r>
            <w:r>
              <w:rPr>
                <w:rFonts w:ascii="宋体" w:hAnsi="宋体" w:cs="宋体"/>
                <w:kern w:val="0"/>
              </w:rPr>
              <w:t>金融市场分析/金融产品创新  </w:t>
            </w:r>
            <w:r>
              <w:rPr>
                <w:rFonts w:ascii="Calibri" w:hAnsi="Calibri"/>
                <w:sz w:val="24"/>
                <w:szCs w:val="24"/>
              </w:rPr>
              <w:t>●</w:t>
            </w:r>
            <w:r>
              <w:rPr>
                <w:rFonts w:ascii="宋体" w:hAnsi="宋体" w:cs="宋体"/>
                <w:kern w:val="0"/>
              </w:rPr>
              <w:t>私募股权投资  </w:t>
            </w:r>
          </w:p>
          <w:p>
            <w:pPr>
              <w:widowControl/>
              <w:spacing w:line="360" w:lineRule="auto"/>
              <w:jc w:val="left"/>
              <w:rPr>
                <w:rFonts w:ascii="宋体" w:hAnsi="宋体" w:cs="宋体"/>
                <w:kern w:val="0"/>
              </w:rPr>
            </w:pPr>
            <w:r>
              <w:rPr>
                <w:rFonts w:ascii="Calibri" w:hAnsi="Calibri"/>
                <w:sz w:val="24"/>
                <w:szCs w:val="24"/>
              </w:rPr>
              <w:t>●</w:t>
            </w:r>
            <w:r>
              <w:rPr>
                <w:rFonts w:ascii="宋体" w:hAnsi="宋体" w:cs="宋体"/>
                <w:kern w:val="0"/>
              </w:rPr>
              <w:t>企业成长与可持续发展  </w:t>
            </w:r>
            <w:r>
              <w:rPr>
                <w:rFonts w:ascii="Calibri" w:hAnsi="Calibri"/>
                <w:sz w:val="24"/>
                <w:szCs w:val="24"/>
              </w:rPr>
              <w:t>●</w:t>
            </w:r>
            <w:r>
              <w:rPr>
                <w:rFonts w:ascii="宋体" w:hAnsi="宋体" w:cs="宋体"/>
                <w:kern w:val="0"/>
              </w:rPr>
              <w:t>领导艺术与团队建设  </w:t>
            </w:r>
          </w:p>
          <w:p>
            <w:pPr>
              <w:widowControl/>
              <w:spacing w:line="360" w:lineRule="auto"/>
              <w:jc w:val="left"/>
              <w:rPr>
                <w:rFonts w:ascii="宋体" w:hAnsi="宋体" w:cs="宋体"/>
                <w:kern w:val="0"/>
              </w:rPr>
            </w:pPr>
            <w:r>
              <w:rPr>
                <w:rFonts w:ascii="Calibri" w:hAnsi="Calibri"/>
                <w:sz w:val="24"/>
                <w:szCs w:val="24"/>
              </w:rPr>
              <w:t>●</w:t>
            </w:r>
            <w:r>
              <w:rPr>
                <w:rFonts w:ascii="宋体" w:hAnsi="宋体" w:cs="宋体"/>
                <w:kern w:val="0"/>
              </w:rPr>
              <w:t>集团管控模式与组织结构设计  </w:t>
            </w:r>
            <w:r>
              <w:rPr>
                <w:rFonts w:ascii="Calibri" w:hAnsi="Calibri"/>
                <w:sz w:val="24"/>
                <w:szCs w:val="24"/>
              </w:rPr>
              <w:t>●</w:t>
            </w:r>
            <w:r>
              <w:rPr>
                <w:rFonts w:ascii="宋体" w:hAnsi="宋体" w:cs="宋体"/>
                <w:kern w:val="0"/>
              </w:rPr>
              <w:t>全面绩效管理  </w:t>
            </w:r>
            <w:r>
              <w:rPr>
                <w:rFonts w:ascii="Calibri" w:hAnsi="Calibri"/>
                <w:sz w:val="24"/>
                <w:szCs w:val="24"/>
              </w:rPr>
              <w:t>●</w:t>
            </w:r>
            <w:r>
              <w:rPr>
                <w:rFonts w:ascii="宋体" w:hAnsi="宋体" w:cs="宋体"/>
                <w:kern w:val="0"/>
              </w:rPr>
              <w:t>薪酬理论与制度设计</w:t>
            </w:r>
          </w:p>
        </w:tc>
      </w:tr>
      <w:tr>
        <w:tblPrEx>
          <w:tblCellMar>
            <w:top w:w="120" w:type="dxa"/>
            <w:left w:w="15" w:type="dxa"/>
            <w:bottom w:w="15" w:type="dxa"/>
            <w:right w:w="15" w:type="dxa"/>
          </w:tblCellMar>
        </w:tblPrEx>
        <w:trPr>
          <w:tblCellSpacing w:w="0" w:type="dxa"/>
        </w:trPr>
        <w:tc>
          <w:tcPr>
            <w:tcW w:w="8247" w:type="dxa"/>
            <w:gridSpan w:val="2"/>
            <w:vAlign w:val="center"/>
          </w:tcPr>
          <w:p>
            <w:pPr>
              <w:pStyle w:val="5"/>
              <w:spacing w:line="360" w:lineRule="auto"/>
              <w:rPr>
                <w:sz w:val="21"/>
                <w:szCs w:val="21"/>
              </w:rPr>
            </w:pPr>
          </w:p>
        </w:tc>
      </w:tr>
      <w:tr>
        <w:tblPrEx>
          <w:tblCellMar>
            <w:top w:w="120" w:type="dxa"/>
            <w:left w:w="15" w:type="dxa"/>
            <w:bottom w:w="15" w:type="dxa"/>
            <w:right w:w="15" w:type="dxa"/>
          </w:tblCellMar>
        </w:tblPrEx>
        <w:trPr>
          <w:trHeight w:val="852" w:hRule="atLeast"/>
          <w:tblCellSpacing w:w="0" w:type="dxa"/>
        </w:trPr>
        <w:tc>
          <w:tcPr>
            <w:tcW w:w="734" w:type="dxa"/>
            <w:tcBorders>
              <w:top w:val="single" w:color="CAC9CB" w:sz="4" w:space="0"/>
              <w:left w:val="single" w:color="CAC9CB" w:sz="4" w:space="0"/>
              <w:bottom w:val="single" w:color="CAC9CB" w:sz="4" w:space="0"/>
              <w:right w:val="single" w:color="CAC9CB" w:sz="4" w:space="0"/>
            </w:tcBorders>
            <w:vAlign w:val="center"/>
          </w:tcPr>
          <w:p>
            <w:pPr>
              <w:widowControl/>
              <w:spacing w:line="360" w:lineRule="auto"/>
              <w:jc w:val="left"/>
              <w:rPr>
                <w:rFonts w:ascii="宋体" w:hAnsi="宋体" w:cs="宋体"/>
                <w:kern w:val="0"/>
              </w:rPr>
            </w:pPr>
            <w:r>
              <w:rPr>
                <w:rFonts w:ascii="宋体" w:hAnsi="宋体" w:cs="宋体"/>
                <w:bCs/>
                <w:kern w:val="0"/>
              </w:rPr>
              <w:t>跨学科选修课</w:t>
            </w:r>
          </w:p>
        </w:tc>
        <w:tc>
          <w:tcPr>
            <w:tcW w:w="7513" w:type="dxa"/>
            <w:tcBorders>
              <w:top w:val="single" w:color="DCDCDC" w:sz="4" w:space="0"/>
              <w:left w:val="nil"/>
              <w:bottom w:val="single" w:color="DCDCDC" w:sz="4" w:space="0"/>
              <w:right w:val="single" w:color="DCDCDC" w:sz="4" w:space="0"/>
            </w:tcBorders>
            <w:tcMar>
              <w:top w:w="120" w:type="dxa"/>
              <w:left w:w="240" w:type="dxa"/>
              <w:bottom w:w="15" w:type="dxa"/>
              <w:right w:w="15" w:type="dxa"/>
            </w:tcMar>
            <w:vAlign w:val="center"/>
          </w:tcPr>
          <w:p>
            <w:pPr>
              <w:widowControl/>
              <w:spacing w:line="360" w:lineRule="auto"/>
              <w:jc w:val="left"/>
              <w:rPr>
                <w:rFonts w:ascii="宋体" w:hAnsi="宋体" w:cs="宋体"/>
                <w:kern w:val="0"/>
              </w:rPr>
            </w:pPr>
            <w:r>
              <w:rPr>
                <w:rFonts w:ascii="Calibri" w:hAnsi="Calibri"/>
                <w:sz w:val="24"/>
                <w:szCs w:val="24"/>
              </w:rPr>
              <w:t>●</w:t>
            </w:r>
            <w:r>
              <w:rPr>
                <w:rFonts w:ascii="宋体" w:hAnsi="宋体" w:cs="宋体"/>
                <w:kern w:val="0"/>
              </w:rPr>
              <w:t>《孙子兵法》的战略管理思想  </w:t>
            </w:r>
            <w:r>
              <w:rPr>
                <w:rFonts w:ascii="Calibri" w:hAnsi="Calibri"/>
                <w:sz w:val="24"/>
                <w:szCs w:val="24"/>
              </w:rPr>
              <w:t>●</w:t>
            </w:r>
            <w:r>
              <w:rPr>
                <w:rFonts w:ascii="宋体" w:hAnsi="宋体" w:cs="宋体"/>
                <w:kern w:val="0"/>
              </w:rPr>
              <w:t>《易经》与总裁经营之道  </w:t>
            </w:r>
          </w:p>
          <w:p>
            <w:pPr>
              <w:widowControl/>
              <w:spacing w:line="360" w:lineRule="auto"/>
              <w:jc w:val="left"/>
              <w:rPr>
                <w:rFonts w:ascii="宋体" w:hAnsi="宋体" w:cs="宋体"/>
                <w:kern w:val="0"/>
              </w:rPr>
            </w:pPr>
            <w:r>
              <w:rPr>
                <w:rFonts w:ascii="Calibri" w:hAnsi="Calibri"/>
                <w:sz w:val="24"/>
                <w:szCs w:val="24"/>
              </w:rPr>
              <w:t>●</w:t>
            </w:r>
            <w:r>
              <w:rPr>
                <w:rFonts w:ascii="宋体" w:hAnsi="宋体" w:cs="宋体"/>
                <w:kern w:val="0"/>
              </w:rPr>
              <w:t>团队精神与领导艺术  </w:t>
            </w:r>
            <w:r>
              <w:rPr>
                <w:rFonts w:ascii="Calibri" w:hAnsi="Calibri"/>
                <w:sz w:val="24"/>
                <w:szCs w:val="24"/>
              </w:rPr>
              <w:t>●</w:t>
            </w:r>
            <w:r>
              <w:rPr>
                <w:rFonts w:hint="eastAsia" w:ascii="宋体" w:hAnsi="宋体" w:cs="宋体"/>
                <w:kern w:val="0"/>
              </w:rPr>
              <w:t>商业模式创新与资本战略</w:t>
            </w:r>
          </w:p>
          <w:p>
            <w:pPr>
              <w:widowControl/>
              <w:spacing w:line="360" w:lineRule="auto"/>
              <w:jc w:val="left"/>
              <w:rPr>
                <w:rFonts w:ascii="宋体" w:hAnsi="宋体" w:cs="宋体"/>
                <w:kern w:val="0"/>
              </w:rPr>
            </w:pPr>
            <w:r>
              <w:rPr>
                <w:rFonts w:ascii="Calibri" w:hAnsi="Calibri"/>
                <w:sz w:val="24"/>
                <w:szCs w:val="24"/>
              </w:rPr>
              <w:t>●</w:t>
            </w:r>
            <w:r>
              <w:rPr>
                <w:rFonts w:hint="eastAsia" w:ascii="宋体" w:hAnsi="宋体" w:cs="宋体"/>
                <w:kern w:val="0"/>
              </w:rPr>
              <w:t xml:space="preserve">世界新格局与中国发展战略  </w:t>
            </w:r>
            <w:r>
              <w:rPr>
                <w:rFonts w:ascii="Calibri" w:hAnsi="Calibri"/>
                <w:sz w:val="24"/>
                <w:szCs w:val="24"/>
              </w:rPr>
              <w:t>●</w:t>
            </w:r>
            <w:r>
              <w:rPr>
                <w:rFonts w:hint="eastAsia" w:ascii="宋体" w:hAnsi="宋体" w:cs="宋体"/>
                <w:kern w:val="0"/>
              </w:rPr>
              <w:t>中国经济形势与国家经济政策解析</w:t>
            </w:r>
          </w:p>
        </w:tc>
      </w:tr>
    </w:tbl>
    <w:p>
      <w:pPr>
        <w:spacing w:beforeLines="30" w:afterLines="30" w:line="288" w:lineRule="auto"/>
        <w:ind w:firstLine="643" w:firstLineChars="200"/>
        <w:rPr>
          <w:rFonts w:ascii="黑体" w:hAnsi="黑体" w:eastAsia="黑体" w:cs="Times New Roman"/>
          <w:b/>
          <w:sz w:val="32"/>
          <w:szCs w:val="28"/>
        </w:rPr>
      </w:pPr>
      <w:r>
        <w:rPr>
          <w:rFonts w:hint="eastAsia" w:ascii="黑体" w:hAnsi="黑体" w:eastAsia="黑体" w:cs="Times New Roman"/>
          <w:b/>
          <w:sz w:val="32"/>
          <w:szCs w:val="28"/>
        </w:rPr>
        <w:t>六、课程安排说明</w:t>
      </w:r>
    </w:p>
    <w:p>
      <w:pPr>
        <w:spacing w:line="360" w:lineRule="auto"/>
        <w:ind w:firstLine="480" w:firstLineChars="200"/>
        <w:rPr>
          <w:sz w:val="24"/>
          <w:szCs w:val="24"/>
        </w:rPr>
      </w:pPr>
      <w:r>
        <w:rPr>
          <w:rFonts w:hint="eastAsia"/>
          <w:sz w:val="24"/>
          <w:szCs w:val="24"/>
        </w:rPr>
        <w:t>两年学习期间共安排18门左右课程。</w:t>
      </w:r>
    </w:p>
    <w:p>
      <w:pPr>
        <w:spacing w:line="360" w:lineRule="auto"/>
        <w:ind w:firstLine="480" w:firstLineChars="200"/>
        <w:rPr>
          <w:sz w:val="24"/>
          <w:szCs w:val="24"/>
        </w:rPr>
      </w:pPr>
      <w:r>
        <w:rPr>
          <w:rFonts w:hint="eastAsia"/>
          <w:sz w:val="24"/>
          <w:szCs w:val="24"/>
        </w:rPr>
        <w:t>安排每月一次高端智库讲座.师资以中国社科院名师学者为主，其中多位参与中央政治局集体学习授课。</w:t>
      </w:r>
    </w:p>
    <w:p>
      <w:pPr>
        <w:spacing w:line="360" w:lineRule="auto"/>
        <w:ind w:firstLine="480" w:firstLineChars="200"/>
        <w:rPr>
          <w:sz w:val="24"/>
          <w:szCs w:val="24"/>
        </w:rPr>
      </w:pPr>
      <w:r>
        <w:rPr>
          <w:rFonts w:hint="eastAsia"/>
          <w:sz w:val="24"/>
          <w:szCs w:val="24"/>
        </w:rPr>
        <w:t>另有国家部委、上海政府部分学者型领导和国内其他名校教授参与授课讲座。</w:t>
      </w:r>
    </w:p>
    <w:p>
      <w:pPr>
        <w:spacing w:beforeLines="30" w:afterLines="30" w:line="288" w:lineRule="auto"/>
        <w:ind w:firstLine="643" w:firstLineChars="200"/>
        <w:rPr>
          <w:rFonts w:ascii="黑体" w:hAnsi="黑体" w:eastAsia="黑体" w:cs="Times New Roman"/>
          <w:b/>
          <w:sz w:val="32"/>
          <w:szCs w:val="28"/>
        </w:rPr>
      </w:pPr>
      <w:r>
        <w:rPr>
          <w:rFonts w:hint="eastAsia" w:ascii="黑体" w:hAnsi="黑体" w:eastAsia="黑体" w:cs="Times New Roman"/>
          <w:b/>
          <w:sz w:val="32"/>
          <w:szCs w:val="28"/>
        </w:rPr>
        <w:t>七、申博条件</w:t>
      </w:r>
    </w:p>
    <w:p>
      <w:pPr>
        <w:spacing w:line="360" w:lineRule="auto"/>
        <w:ind w:firstLine="480" w:firstLineChars="200"/>
        <w:rPr>
          <w:sz w:val="24"/>
          <w:szCs w:val="24"/>
        </w:rPr>
      </w:pPr>
      <w:r>
        <w:rPr>
          <w:rFonts w:hint="eastAsia"/>
          <w:sz w:val="24"/>
          <w:szCs w:val="24"/>
        </w:rPr>
        <w:t>中国社科院研究生院高级课程研修班以同等学力申请博士学位的条件包括：</w:t>
      </w:r>
    </w:p>
    <w:p>
      <w:pPr>
        <w:spacing w:line="360" w:lineRule="auto"/>
        <w:ind w:firstLine="480" w:firstLineChars="200"/>
        <w:rPr>
          <w:sz w:val="24"/>
          <w:szCs w:val="24"/>
        </w:rPr>
      </w:pPr>
      <w:r>
        <w:rPr>
          <w:rFonts w:hint="eastAsia"/>
          <w:sz w:val="24"/>
          <w:szCs w:val="24"/>
        </w:rPr>
        <w:t>1、申请人在获得硕士学位后在本专业或相近专业工作5年以上。</w:t>
      </w:r>
    </w:p>
    <w:p>
      <w:pPr>
        <w:spacing w:line="360" w:lineRule="auto"/>
        <w:ind w:firstLine="480" w:firstLineChars="200"/>
        <w:rPr>
          <w:sz w:val="24"/>
          <w:szCs w:val="24"/>
        </w:rPr>
      </w:pPr>
      <w:r>
        <w:rPr>
          <w:rFonts w:hint="eastAsia"/>
          <w:sz w:val="24"/>
          <w:szCs w:val="24"/>
        </w:rPr>
        <w:t>2、申请人所申请博士学位的专业应与已获硕士学位的专业在同一个一级学科内，否则为跨学科申请。</w:t>
      </w:r>
    </w:p>
    <w:p>
      <w:pPr>
        <w:spacing w:line="360" w:lineRule="auto"/>
        <w:ind w:firstLine="480" w:firstLineChars="200"/>
        <w:rPr>
          <w:sz w:val="24"/>
          <w:szCs w:val="24"/>
        </w:rPr>
      </w:pPr>
      <w:r>
        <w:rPr>
          <w:rFonts w:hint="eastAsia"/>
          <w:sz w:val="24"/>
          <w:szCs w:val="24"/>
        </w:rPr>
        <w:t>3、凡属跨学科申请的或以专业学位硕士、同等学力硕士申请的，须在提出申请的前1年与学位办联系，加试所申请专业的硕士研究生的3门专业基础课。</w:t>
      </w:r>
    </w:p>
    <w:p>
      <w:pPr>
        <w:spacing w:line="360" w:lineRule="auto"/>
        <w:ind w:firstLine="480" w:firstLineChars="200"/>
        <w:rPr>
          <w:sz w:val="24"/>
          <w:szCs w:val="24"/>
        </w:rPr>
      </w:pPr>
      <w:r>
        <w:rPr>
          <w:rFonts w:hint="eastAsia"/>
          <w:sz w:val="24"/>
          <w:szCs w:val="24"/>
        </w:rPr>
        <w:t>4、申请人应在教学、科研等领域做出突出成绩，近年来在申请学位的学科领域内，以第一作者在国内核心刊物上发表5篇以上高水平学术论文（每篇不少于5000字）或发表3篇以上高水平学术论文（每篇不少于5000字）并且独立出版1本学术专著；科研成果（有本人署名）至少有1项获得国家级或省部级以上优秀成果奖。</w:t>
      </w:r>
    </w:p>
    <w:p>
      <w:pPr>
        <w:spacing w:line="360" w:lineRule="auto"/>
        <w:ind w:firstLine="480" w:firstLineChars="200"/>
        <w:rPr>
          <w:sz w:val="24"/>
          <w:szCs w:val="24"/>
        </w:rPr>
      </w:pPr>
      <w:r>
        <w:rPr>
          <w:rFonts w:hint="eastAsia"/>
          <w:sz w:val="24"/>
          <w:szCs w:val="24"/>
        </w:rPr>
        <w:t>5、已完成博士学位论文的初稿。</w:t>
      </w:r>
    </w:p>
    <w:p>
      <w:pPr>
        <w:spacing w:line="360" w:lineRule="auto"/>
        <w:ind w:firstLine="480" w:firstLineChars="200"/>
        <w:rPr>
          <w:sz w:val="24"/>
          <w:szCs w:val="24"/>
        </w:rPr>
      </w:pPr>
      <w:r>
        <w:rPr>
          <w:rFonts w:hint="eastAsia"/>
          <w:sz w:val="24"/>
          <w:szCs w:val="24"/>
        </w:rPr>
        <w:t>6、达到申请系规定的其他条件。</w:t>
      </w:r>
    </w:p>
    <w:p>
      <w:pPr>
        <w:spacing w:beforeLines="30" w:afterLines="30" w:line="288" w:lineRule="auto"/>
        <w:ind w:firstLine="643" w:firstLineChars="200"/>
        <w:rPr>
          <w:rFonts w:ascii="黑体" w:hAnsi="黑体" w:eastAsia="黑体" w:cs="Times New Roman"/>
          <w:b/>
          <w:sz w:val="32"/>
          <w:szCs w:val="28"/>
        </w:rPr>
      </w:pPr>
      <w:r>
        <w:rPr>
          <w:rFonts w:ascii="黑体" w:hAnsi="黑体" w:eastAsia="黑体" w:cs="Times New Roman"/>
          <w:b/>
          <w:sz w:val="32"/>
          <w:szCs w:val="28"/>
        </w:rPr>
        <w:t>八</w:t>
      </w:r>
      <w:r>
        <w:rPr>
          <w:rFonts w:hint="eastAsia" w:ascii="黑体" w:hAnsi="黑体" w:eastAsia="黑体" w:cs="Times New Roman"/>
          <w:b/>
          <w:sz w:val="32"/>
          <w:szCs w:val="28"/>
        </w:rPr>
        <w:t>、</w:t>
      </w:r>
      <w:r>
        <w:rPr>
          <w:rFonts w:ascii="黑体" w:hAnsi="黑体" w:eastAsia="黑体" w:cs="Times New Roman"/>
          <w:b/>
          <w:sz w:val="32"/>
          <w:szCs w:val="28"/>
        </w:rPr>
        <w:t>部分拟聘师资简介</w:t>
      </w:r>
    </w:p>
    <w:p>
      <w:pPr>
        <w:spacing w:line="360" w:lineRule="auto"/>
        <w:ind w:firstLine="480" w:firstLineChars="200"/>
        <w:rPr>
          <w:sz w:val="24"/>
          <w:szCs w:val="24"/>
        </w:rPr>
      </w:pPr>
      <w:r>
        <w:rPr>
          <w:rFonts w:ascii="Calibri" w:hAnsi="Calibri"/>
          <w:sz w:val="24"/>
          <w:szCs w:val="24"/>
        </w:rPr>
        <w:t>●</w:t>
      </w:r>
      <w:r>
        <w:rPr>
          <w:rFonts w:hint="eastAsia"/>
          <w:sz w:val="24"/>
          <w:szCs w:val="24"/>
        </w:rPr>
        <w:t>刘世锦：中国社科院研究生院教授、博导，国务院发展研究中心副主任；曾任中国社会科学院工业经济研究所研究员、研究室主任；中央政治局集体学习授课人之一。</w:t>
      </w:r>
    </w:p>
    <w:p>
      <w:pPr>
        <w:spacing w:line="360" w:lineRule="auto"/>
        <w:ind w:firstLine="480" w:firstLineChars="200"/>
        <w:rPr>
          <w:sz w:val="24"/>
          <w:szCs w:val="24"/>
        </w:rPr>
      </w:pPr>
      <w:r>
        <w:rPr>
          <w:rFonts w:ascii="Calibri" w:hAnsi="Calibri"/>
          <w:sz w:val="24"/>
          <w:szCs w:val="24"/>
        </w:rPr>
        <w:t>●</w:t>
      </w:r>
      <w:r>
        <w:rPr>
          <w:rFonts w:hint="eastAsia"/>
          <w:sz w:val="24"/>
          <w:szCs w:val="24"/>
        </w:rPr>
        <w:t>李培林：中国社会科学院副院长、学部委员，上海研究院院长，《社会学研究》主编，主要研究领域为企业组织、社会结构变迁、发展评估和社会分层。2005年为第十六届中央政治局集体学习讲课。</w:t>
      </w:r>
    </w:p>
    <w:p>
      <w:pPr>
        <w:spacing w:line="360" w:lineRule="auto"/>
        <w:ind w:firstLine="480" w:firstLineChars="200"/>
        <w:rPr>
          <w:sz w:val="24"/>
          <w:szCs w:val="24"/>
        </w:rPr>
      </w:pPr>
      <w:r>
        <w:rPr>
          <w:rFonts w:ascii="Calibri" w:hAnsi="Calibri"/>
          <w:sz w:val="24"/>
          <w:szCs w:val="24"/>
        </w:rPr>
        <w:t>●</w:t>
      </w:r>
      <w:r>
        <w:rPr>
          <w:rFonts w:hint="eastAsia"/>
          <w:sz w:val="24"/>
          <w:szCs w:val="24"/>
        </w:rPr>
        <w:t>蔡昉：中国社会科学院学部委员、博导、教授，中国社会科学院副院长，曾任人口与劳动经济研究所所长。研究领域：劳动经济学、中国经济改革和“三农”问题等。曾三次踏入中南海为中央政治局集体学习授课。</w:t>
      </w:r>
    </w:p>
    <w:p>
      <w:pPr>
        <w:spacing w:line="360" w:lineRule="auto"/>
        <w:ind w:firstLine="480" w:firstLineChars="200"/>
        <w:rPr>
          <w:sz w:val="24"/>
          <w:szCs w:val="24"/>
        </w:rPr>
      </w:pPr>
      <w:r>
        <w:rPr>
          <w:rFonts w:ascii="Calibri" w:hAnsi="Calibri"/>
          <w:sz w:val="24"/>
          <w:szCs w:val="24"/>
        </w:rPr>
        <w:t>●</w:t>
      </w:r>
      <w:r>
        <w:rPr>
          <w:rFonts w:hint="eastAsia"/>
          <w:sz w:val="24"/>
          <w:szCs w:val="24"/>
        </w:rPr>
        <w:t>张卓元：中国社科院学部委员，原中国社会科学院经济研究所、工业经济研究所所长，研究员、博导；中央政治局集体学习授课人之一。</w:t>
      </w:r>
    </w:p>
    <w:p>
      <w:pPr>
        <w:spacing w:line="360" w:lineRule="auto"/>
        <w:ind w:firstLine="480" w:firstLineChars="200"/>
        <w:rPr>
          <w:sz w:val="24"/>
          <w:szCs w:val="24"/>
        </w:rPr>
      </w:pPr>
      <w:r>
        <w:rPr>
          <w:rFonts w:ascii="Calibri" w:hAnsi="Calibri"/>
          <w:sz w:val="24"/>
          <w:szCs w:val="24"/>
        </w:rPr>
        <w:t>●</w:t>
      </w:r>
      <w:r>
        <w:rPr>
          <w:rFonts w:hint="eastAsia"/>
          <w:sz w:val="24"/>
          <w:szCs w:val="24"/>
        </w:rPr>
        <w:t>吕政：中国社科院学部委员、经济学部副主任，兼任中国工业经济学会副会长和理事长；原中国社会科学院工业经济研究所所长，研究员、博导；主要研究领域是工业发展理论与政策；中央政治局集体学习授课人之一。</w:t>
      </w:r>
    </w:p>
    <w:p>
      <w:pPr>
        <w:spacing w:line="360" w:lineRule="auto"/>
        <w:ind w:firstLine="480" w:firstLineChars="200"/>
        <w:rPr>
          <w:sz w:val="24"/>
          <w:szCs w:val="24"/>
        </w:rPr>
      </w:pPr>
      <w:r>
        <w:rPr>
          <w:rFonts w:ascii="Calibri" w:hAnsi="Calibri"/>
          <w:sz w:val="24"/>
          <w:szCs w:val="24"/>
        </w:rPr>
        <w:t>●</w:t>
      </w:r>
      <w:r>
        <w:rPr>
          <w:rFonts w:hint="eastAsia"/>
          <w:sz w:val="24"/>
          <w:szCs w:val="24"/>
        </w:rPr>
        <w:t>余永定：中国社会科学院学部委员，原中国社会科学院世界经济与政治研究所所长，中央银行第五届货币政策委员会委员，研究员、博导；中央政治局集体学习授课人之一。</w:t>
      </w:r>
    </w:p>
    <w:p>
      <w:pPr>
        <w:spacing w:line="360" w:lineRule="auto"/>
        <w:ind w:firstLine="480" w:firstLineChars="200"/>
        <w:rPr>
          <w:sz w:val="24"/>
          <w:szCs w:val="24"/>
        </w:rPr>
      </w:pPr>
      <w:r>
        <w:rPr>
          <w:rFonts w:ascii="Calibri" w:hAnsi="Calibri"/>
          <w:sz w:val="24"/>
          <w:szCs w:val="24"/>
        </w:rPr>
        <w:t>●</w:t>
      </w:r>
      <w:r>
        <w:rPr>
          <w:rFonts w:hint="eastAsia"/>
          <w:sz w:val="24"/>
          <w:szCs w:val="24"/>
        </w:rPr>
        <w:t>金碚：中国社科院学部委员，原中国社会科学院工业经济研究所所长，研究员、博导。研究领域：产业经济学、工业化与发展经济学、企业理论与实践。中共中央政治局集体学习授课人之一。</w:t>
      </w:r>
    </w:p>
    <w:p>
      <w:pPr>
        <w:spacing w:line="360" w:lineRule="auto"/>
        <w:ind w:firstLine="480" w:firstLineChars="200"/>
        <w:rPr>
          <w:sz w:val="24"/>
          <w:szCs w:val="24"/>
        </w:rPr>
      </w:pPr>
      <w:r>
        <w:rPr>
          <w:rFonts w:ascii="Calibri" w:hAnsi="Calibri"/>
          <w:sz w:val="24"/>
          <w:szCs w:val="24"/>
        </w:rPr>
        <w:t>●</w:t>
      </w:r>
      <w:r>
        <w:rPr>
          <w:rFonts w:hint="eastAsia"/>
          <w:sz w:val="24"/>
          <w:szCs w:val="24"/>
        </w:rPr>
        <w:t>黄晓勇：中国社会科学院研究生院院长、教授、博导；兼任全国日本经济学会副会长、中国城市发展研究会副理事长；2004年当选世界生产率科学院院士。研究领域：日本企业经营战略与日本的产业政策，日美经济贸易及中日经济比较与合作等问题。</w:t>
      </w:r>
    </w:p>
    <w:p>
      <w:pPr>
        <w:spacing w:line="360" w:lineRule="auto"/>
        <w:ind w:firstLine="480" w:firstLineChars="200"/>
        <w:rPr>
          <w:sz w:val="24"/>
          <w:szCs w:val="24"/>
        </w:rPr>
      </w:pPr>
      <w:r>
        <w:rPr>
          <w:rFonts w:ascii="Calibri" w:hAnsi="Calibri"/>
          <w:sz w:val="24"/>
          <w:szCs w:val="24"/>
        </w:rPr>
        <w:t>●</w:t>
      </w:r>
      <w:r>
        <w:rPr>
          <w:rFonts w:hint="eastAsia"/>
          <w:sz w:val="24"/>
          <w:szCs w:val="24"/>
        </w:rPr>
        <w:t>文学国：中国社会科学院研究生院教授、副院长；中国社科院上海市政府上海研究院常务副院长。研究领域为经济法学、政府规制、公司治理、企业经营法学等。</w:t>
      </w:r>
    </w:p>
    <w:p>
      <w:pPr>
        <w:spacing w:line="360" w:lineRule="auto"/>
        <w:ind w:firstLine="480" w:firstLineChars="200"/>
        <w:rPr>
          <w:sz w:val="24"/>
          <w:szCs w:val="24"/>
        </w:rPr>
      </w:pPr>
      <w:r>
        <w:rPr>
          <w:rFonts w:ascii="Calibri" w:hAnsi="Calibri"/>
          <w:sz w:val="24"/>
          <w:szCs w:val="24"/>
        </w:rPr>
        <w:t>●</w:t>
      </w:r>
      <w:r>
        <w:rPr>
          <w:rFonts w:hint="eastAsia"/>
          <w:sz w:val="24"/>
          <w:szCs w:val="24"/>
        </w:rPr>
        <w:t>裴长洪：中国社会科学院经济研究所所长，研究员、博导；中央政治局集体学习授课人之一。</w:t>
      </w:r>
    </w:p>
    <w:p>
      <w:pPr>
        <w:spacing w:line="360" w:lineRule="auto"/>
        <w:ind w:firstLine="480" w:firstLineChars="200"/>
        <w:rPr>
          <w:sz w:val="24"/>
          <w:szCs w:val="24"/>
        </w:rPr>
      </w:pPr>
      <w:r>
        <w:rPr>
          <w:rFonts w:ascii="Calibri" w:hAnsi="Calibri"/>
          <w:sz w:val="24"/>
          <w:szCs w:val="24"/>
        </w:rPr>
        <w:t>●</w:t>
      </w:r>
      <w:r>
        <w:rPr>
          <w:rFonts w:hint="eastAsia"/>
          <w:sz w:val="24"/>
          <w:szCs w:val="24"/>
        </w:rPr>
        <w:t>李平：中国社会科学院数量经济与技术经济研究所所长，中国社科院学部委员、研究员、博导</w:t>
      </w:r>
    </w:p>
    <w:p>
      <w:pPr>
        <w:spacing w:line="360" w:lineRule="auto"/>
        <w:ind w:firstLine="480" w:firstLineChars="200"/>
        <w:rPr>
          <w:sz w:val="24"/>
          <w:szCs w:val="24"/>
        </w:rPr>
      </w:pPr>
      <w:r>
        <w:rPr>
          <w:rFonts w:ascii="Calibri" w:hAnsi="Calibri"/>
          <w:sz w:val="24"/>
          <w:szCs w:val="24"/>
        </w:rPr>
        <w:t>●</w:t>
      </w:r>
      <w:r>
        <w:rPr>
          <w:rFonts w:hint="eastAsia"/>
          <w:sz w:val="24"/>
          <w:szCs w:val="24"/>
        </w:rPr>
        <w:t>罗云毅：中国社科院研究生院教授、博导，国家发展与改革委员会投资研究所所长。研究领域：宏观经济运行、固定资本投资的理论与政策、投融资管理体制改革等。中共中央政治局集体学习授课人之一。</w:t>
      </w:r>
    </w:p>
    <w:p>
      <w:pPr>
        <w:spacing w:line="360" w:lineRule="auto"/>
        <w:ind w:firstLine="480" w:firstLineChars="200"/>
        <w:rPr>
          <w:sz w:val="24"/>
          <w:szCs w:val="24"/>
        </w:rPr>
      </w:pPr>
      <w:r>
        <w:rPr>
          <w:rFonts w:ascii="Calibri" w:hAnsi="Calibri"/>
          <w:sz w:val="24"/>
          <w:szCs w:val="24"/>
        </w:rPr>
        <w:t>●</w:t>
      </w:r>
      <w:r>
        <w:rPr>
          <w:rFonts w:hint="eastAsia"/>
          <w:sz w:val="24"/>
          <w:szCs w:val="24"/>
        </w:rPr>
        <w:t>黄群慧：研究员、教授、博导，现为中国社会科学院工业经济研究所所长，兼任中国企业管理研究会常务副理事长。研究领域：国有企业改革、人力资源管理、战略管理、比较管理与企业跨国经营、企业制度。</w:t>
      </w:r>
    </w:p>
    <w:p>
      <w:pPr>
        <w:spacing w:line="360" w:lineRule="auto"/>
        <w:ind w:firstLine="480" w:firstLineChars="200"/>
        <w:rPr>
          <w:sz w:val="24"/>
          <w:szCs w:val="24"/>
        </w:rPr>
      </w:pPr>
      <w:r>
        <w:rPr>
          <w:rFonts w:ascii="Calibri" w:hAnsi="Calibri"/>
          <w:sz w:val="24"/>
          <w:szCs w:val="24"/>
        </w:rPr>
        <w:t>●</w:t>
      </w:r>
      <w:r>
        <w:rPr>
          <w:rFonts w:hint="eastAsia"/>
          <w:sz w:val="24"/>
          <w:szCs w:val="24"/>
        </w:rPr>
        <w:t>黄速建：研究员、教授、博导，中国社会科学院工业经济研究所副所长。兼任中国企业管理研究会理事长。主要研究领域为公司并购、企业组织与企业改革。</w:t>
      </w:r>
    </w:p>
    <w:p>
      <w:pPr>
        <w:spacing w:line="360" w:lineRule="auto"/>
        <w:ind w:firstLine="480" w:firstLineChars="200"/>
        <w:rPr>
          <w:sz w:val="24"/>
          <w:szCs w:val="24"/>
        </w:rPr>
      </w:pPr>
      <w:r>
        <w:rPr>
          <w:rFonts w:ascii="Calibri" w:hAnsi="Calibri"/>
          <w:sz w:val="24"/>
          <w:szCs w:val="24"/>
        </w:rPr>
        <w:t>●</w:t>
      </w:r>
      <w:r>
        <w:rPr>
          <w:rFonts w:hint="eastAsia"/>
          <w:sz w:val="24"/>
          <w:szCs w:val="24"/>
        </w:rPr>
        <w:t>李海舰：研究员、教授、博导，现为中国社会科学院工业经济研究所副所长，中国工业经济杂志社社长，中国企业管理研究会副理事长，中国工业经济学会副理事长。研究领域：管理创新、战略管理和产业经济。</w:t>
      </w:r>
    </w:p>
    <w:p>
      <w:pPr>
        <w:spacing w:line="360" w:lineRule="auto"/>
        <w:ind w:firstLine="480" w:firstLineChars="200"/>
        <w:rPr>
          <w:sz w:val="24"/>
          <w:szCs w:val="24"/>
        </w:rPr>
      </w:pPr>
      <w:r>
        <w:rPr>
          <w:rFonts w:ascii="Calibri" w:hAnsi="Calibri"/>
          <w:sz w:val="24"/>
          <w:szCs w:val="24"/>
        </w:rPr>
        <w:t>●</w:t>
      </w:r>
      <w:r>
        <w:rPr>
          <w:rFonts w:hint="eastAsia"/>
          <w:sz w:val="24"/>
          <w:szCs w:val="24"/>
        </w:rPr>
        <w:t>王钦：研究员、教授、博士生导师。现任中国社科院工业经济研究所企业管理研究室主任、中国社会科学院管理科学与创新发展研究中心副主任、中国企业管理研究会常务副理事长、中国企业管理研究会互联网商业模式研究专业委员会召集人。主要研究领域：产业发展、战略管理和创新管理。</w:t>
      </w:r>
    </w:p>
    <w:p>
      <w:pPr>
        <w:spacing w:line="360" w:lineRule="auto"/>
        <w:ind w:firstLine="480" w:firstLineChars="200"/>
        <w:rPr>
          <w:sz w:val="24"/>
          <w:szCs w:val="24"/>
        </w:rPr>
      </w:pPr>
      <w:r>
        <w:rPr>
          <w:rFonts w:ascii="Calibri" w:hAnsi="Calibri"/>
          <w:sz w:val="24"/>
          <w:szCs w:val="24"/>
        </w:rPr>
        <w:t>●</w:t>
      </w:r>
      <w:r>
        <w:rPr>
          <w:rFonts w:hint="eastAsia"/>
          <w:sz w:val="24"/>
          <w:szCs w:val="24"/>
        </w:rPr>
        <w:t>张承耀：中国社会科学院工业经济研究所研究员、博导；现任中国社会科学院管理科学研究中心副主任。主要研究领域：企业管理，企业改革，组织变革等</w:t>
      </w:r>
    </w:p>
    <w:p>
      <w:pPr>
        <w:spacing w:line="360" w:lineRule="auto"/>
        <w:ind w:firstLine="480" w:firstLineChars="200"/>
        <w:rPr>
          <w:sz w:val="24"/>
          <w:szCs w:val="24"/>
        </w:rPr>
      </w:pPr>
      <w:r>
        <w:rPr>
          <w:rFonts w:ascii="Calibri" w:hAnsi="Calibri"/>
          <w:sz w:val="24"/>
          <w:szCs w:val="24"/>
        </w:rPr>
        <w:t>●</w:t>
      </w:r>
      <w:r>
        <w:rPr>
          <w:rFonts w:hint="eastAsia"/>
          <w:sz w:val="24"/>
          <w:szCs w:val="24"/>
        </w:rPr>
        <w:t>沈志渔：中国社会科学院工业经济研究所研究员、博导；现任经济管理出版社总编辑、中国社会科学院工业经济研究所企业制度研究室主任。研究领域：企业改革、公司制度、企业集团管理等方面。</w:t>
      </w:r>
    </w:p>
    <w:p>
      <w:pPr>
        <w:spacing w:line="360" w:lineRule="auto"/>
        <w:ind w:firstLine="480" w:firstLineChars="200"/>
        <w:rPr>
          <w:sz w:val="24"/>
          <w:szCs w:val="24"/>
        </w:rPr>
      </w:pPr>
      <w:r>
        <w:rPr>
          <w:rFonts w:ascii="Calibri" w:hAnsi="Calibri"/>
          <w:sz w:val="24"/>
          <w:szCs w:val="24"/>
        </w:rPr>
        <w:t>●</w:t>
      </w:r>
      <w:r>
        <w:rPr>
          <w:rFonts w:hint="eastAsia"/>
          <w:sz w:val="24"/>
          <w:szCs w:val="24"/>
        </w:rPr>
        <w:t>罗仲伟：现任中国社会科学院工业经济研究所研究员、中小企业研究室主任，中国社会科学院中小企业研究中心主任，中国社会科学院研究生院教授、博士生导师。产业和企业战略、企业管理、中小企业发展与政策。</w:t>
      </w:r>
    </w:p>
    <w:p>
      <w:pPr>
        <w:spacing w:line="360" w:lineRule="auto"/>
        <w:ind w:firstLine="480" w:firstLineChars="200"/>
        <w:rPr>
          <w:sz w:val="24"/>
          <w:szCs w:val="24"/>
        </w:rPr>
      </w:pPr>
      <w:r>
        <w:rPr>
          <w:rFonts w:ascii="Calibri" w:hAnsi="Calibri"/>
          <w:sz w:val="24"/>
          <w:szCs w:val="24"/>
        </w:rPr>
        <w:t>●</w:t>
      </w:r>
      <w:r>
        <w:rPr>
          <w:rFonts w:hint="eastAsia"/>
          <w:sz w:val="24"/>
          <w:szCs w:val="24"/>
        </w:rPr>
        <w:t>杜莹芬：现任中国社会科学院工业经济研究所研究员，财务与会计研究室主任，中国企业管理研究会常务理事，中国社会科学院研究生院教授、博士生导师，研究方向：企业管理、财务管理、企业并购与重组。</w:t>
      </w:r>
    </w:p>
    <w:p>
      <w:pPr>
        <w:spacing w:line="360" w:lineRule="auto"/>
        <w:ind w:firstLine="480" w:firstLineChars="200"/>
        <w:rPr>
          <w:sz w:val="24"/>
          <w:szCs w:val="24"/>
        </w:rPr>
      </w:pPr>
      <w:r>
        <w:rPr>
          <w:rFonts w:ascii="Calibri" w:hAnsi="Calibri"/>
          <w:sz w:val="24"/>
          <w:szCs w:val="24"/>
        </w:rPr>
        <w:t>●</w:t>
      </w:r>
      <w:r>
        <w:rPr>
          <w:rFonts w:hint="eastAsia"/>
          <w:sz w:val="24"/>
          <w:szCs w:val="24"/>
        </w:rPr>
        <w:t>张金昌：中国社会科学院工业经济研究所研究员、研究生院教授、博导，中国企业管理研究会副理事长，研究领域：企业管理、公司理财、财务分析、国际竞争力、智能管理、银行信贷风险、公司治理。</w:t>
      </w:r>
    </w:p>
    <w:p>
      <w:pPr>
        <w:spacing w:line="360" w:lineRule="auto"/>
        <w:ind w:firstLine="480" w:firstLineChars="200"/>
        <w:rPr>
          <w:sz w:val="24"/>
          <w:szCs w:val="24"/>
        </w:rPr>
      </w:pPr>
      <w:r>
        <w:rPr>
          <w:rFonts w:ascii="Calibri" w:hAnsi="Calibri"/>
          <w:sz w:val="24"/>
          <w:szCs w:val="24"/>
        </w:rPr>
        <w:t>●</w:t>
      </w:r>
      <w:r>
        <w:rPr>
          <w:rFonts w:hint="eastAsia"/>
          <w:sz w:val="24"/>
          <w:szCs w:val="24"/>
        </w:rPr>
        <w:t>余菁：中国社科院工业经济研究所企业制度研究室主任、研究员，研究生院教授、博导；主要研究方向：国有企业改革、公司治理、组织管理、信息技术产业政策、企业信息化。</w:t>
      </w:r>
    </w:p>
    <w:p>
      <w:pPr>
        <w:spacing w:line="360" w:lineRule="auto"/>
        <w:ind w:firstLine="480" w:firstLineChars="200"/>
        <w:rPr>
          <w:sz w:val="24"/>
          <w:szCs w:val="24"/>
        </w:rPr>
      </w:pPr>
      <w:r>
        <w:rPr>
          <w:rFonts w:ascii="Calibri" w:hAnsi="Calibri"/>
          <w:sz w:val="24"/>
          <w:szCs w:val="24"/>
        </w:rPr>
        <w:t>●</w:t>
      </w:r>
      <w:r>
        <w:rPr>
          <w:rFonts w:hint="eastAsia"/>
          <w:sz w:val="24"/>
          <w:szCs w:val="24"/>
        </w:rPr>
        <w:t>杨丹辉：中国社科院工业经济研究所工业资源与环境研究室主任，研究员，博士生导师；主要研究领域为产业经济学、资源与环境经济学、国际贸易。</w:t>
      </w:r>
    </w:p>
    <w:p>
      <w:pPr>
        <w:spacing w:line="360" w:lineRule="auto"/>
        <w:ind w:firstLine="480" w:firstLineChars="200"/>
        <w:rPr>
          <w:sz w:val="24"/>
          <w:szCs w:val="24"/>
        </w:rPr>
      </w:pPr>
      <w:r>
        <w:rPr>
          <w:rFonts w:ascii="Calibri" w:hAnsi="Calibri"/>
          <w:sz w:val="24"/>
          <w:szCs w:val="24"/>
        </w:rPr>
        <w:t>●</w:t>
      </w:r>
      <w:r>
        <w:rPr>
          <w:rFonts w:hint="eastAsia"/>
          <w:sz w:val="24"/>
          <w:szCs w:val="24"/>
        </w:rPr>
        <w:t>刘湘丽：中国社科院工业经济研究所研究员，研究生院教授、博导。主要研究领域：知识型员工管理与技能形成机制、国家人力资源开发战略与政策；人力资源开发与管理、职业培训与发展管理、薪酬激励、考核管理等。</w:t>
      </w:r>
    </w:p>
    <w:p>
      <w:pPr>
        <w:spacing w:line="360" w:lineRule="auto"/>
        <w:ind w:firstLine="480" w:firstLineChars="200"/>
        <w:rPr>
          <w:sz w:val="24"/>
          <w:szCs w:val="24"/>
        </w:rPr>
      </w:pPr>
      <w:r>
        <w:rPr>
          <w:rFonts w:ascii="Calibri" w:hAnsi="Calibri"/>
          <w:sz w:val="24"/>
          <w:szCs w:val="24"/>
        </w:rPr>
        <w:t>●</w:t>
      </w:r>
      <w:r>
        <w:rPr>
          <w:rFonts w:hint="eastAsia"/>
          <w:sz w:val="24"/>
          <w:szCs w:val="24"/>
        </w:rPr>
        <w:t>高文书：中国社科院研究生院教授、博导。现任中国社科院人口与劳动经济研究所人力资源研究室主任，主要研究领域是人力资源管理、就业与社会保障。</w:t>
      </w:r>
    </w:p>
    <w:p>
      <w:pPr>
        <w:spacing w:beforeLines="30" w:afterLines="30" w:line="288" w:lineRule="auto"/>
        <w:ind w:firstLine="643" w:firstLineChars="200"/>
        <w:rPr>
          <w:rFonts w:ascii="黑体" w:hAnsi="黑体" w:eastAsia="黑体" w:cs="Times New Roman"/>
          <w:b/>
          <w:sz w:val="32"/>
          <w:szCs w:val="28"/>
        </w:rPr>
      </w:pPr>
      <w:r>
        <w:rPr>
          <w:rFonts w:hint="eastAsia" w:ascii="黑体" w:hAnsi="黑体" w:eastAsia="黑体" w:cs="Times New Roman"/>
          <w:b/>
          <w:sz w:val="32"/>
          <w:szCs w:val="28"/>
        </w:rPr>
        <w:t>九、学习费用与缴费方式</w:t>
      </w:r>
    </w:p>
    <w:p>
      <w:pPr>
        <w:spacing w:line="360" w:lineRule="auto"/>
        <w:ind w:firstLine="480" w:firstLineChars="200"/>
        <w:rPr>
          <w:sz w:val="24"/>
          <w:szCs w:val="24"/>
        </w:rPr>
      </w:pPr>
      <w:r>
        <w:rPr>
          <w:rFonts w:hint="eastAsia"/>
          <w:sz w:val="24"/>
          <w:szCs w:val="24"/>
        </w:rPr>
        <w:t>报名费：800元/人（含资格审查费、考前辅导费、考试费）。</w:t>
      </w:r>
    </w:p>
    <w:p>
      <w:pPr>
        <w:spacing w:line="360" w:lineRule="auto"/>
        <w:ind w:firstLine="480" w:firstLineChars="200"/>
        <w:rPr>
          <w:sz w:val="24"/>
          <w:szCs w:val="24"/>
        </w:rPr>
      </w:pPr>
      <w:r>
        <w:rPr>
          <w:rFonts w:hint="eastAsia"/>
          <w:sz w:val="24"/>
          <w:szCs w:val="24"/>
        </w:rPr>
        <w:t>学费：人民币1</w:t>
      </w:r>
      <w:r>
        <w:rPr>
          <w:rFonts w:hint="eastAsia"/>
          <w:sz w:val="24"/>
          <w:szCs w:val="24"/>
          <w:lang w:val="en-US" w:eastAsia="zh-CN"/>
        </w:rPr>
        <w:t>4</w:t>
      </w:r>
      <w:bookmarkStart w:id="0" w:name="_GoBack"/>
      <w:bookmarkEnd w:id="0"/>
      <w:r>
        <w:rPr>
          <w:rFonts w:hint="eastAsia"/>
          <w:sz w:val="24"/>
          <w:szCs w:val="24"/>
        </w:rPr>
        <w:t>8000元/人（含学费、资料费、结业考试费、结业费、结业论文指导费以及课间茶点费等）。</w:t>
      </w:r>
    </w:p>
    <w:p>
      <w:pPr>
        <w:spacing w:line="360" w:lineRule="auto"/>
        <w:ind w:firstLine="480" w:firstLineChars="200"/>
        <w:rPr>
          <w:sz w:val="24"/>
          <w:szCs w:val="24"/>
        </w:rPr>
      </w:pPr>
      <w:r>
        <w:rPr>
          <w:rFonts w:hint="eastAsia"/>
          <w:sz w:val="24"/>
          <w:szCs w:val="24"/>
        </w:rPr>
        <w:t>报名费：800元。</w:t>
      </w:r>
    </w:p>
    <w:p>
      <w:pPr>
        <w:spacing w:line="360" w:lineRule="auto"/>
        <w:ind w:firstLine="480" w:firstLineChars="200"/>
        <w:rPr>
          <w:sz w:val="24"/>
          <w:szCs w:val="24"/>
        </w:rPr>
      </w:pPr>
      <w:r>
        <w:rPr>
          <w:rFonts w:hint="eastAsia"/>
          <w:sz w:val="24"/>
          <w:szCs w:val="24"/>
        </w:rPr>
        <w:t>总计：人民币138800元；交通、食宿费用自理。</w:t>
      </w:r>
    </w:p>
    <w:p>
      <w:pPr>
        <w:spacing w:line="360" w:lineRule="auto"/>
        <w:ind w:firstLine="480" w:firstLineChars="200"/>
        <w:rPr>
          <w:sz w:val="24"/>
          <w:szCs w:val="24"/>
        </w:rPr>
      </w:pPr>
      <w:r>
        <w:rPr>
          <w:rFonts w:hint="eastAsia"/>
          <w:sz w:val="24"/>
          <w:szCs w:val="24"/>
        </w:rPr>
        <w:t>注：上课两周之内可退学费，上课两周之后退学不退费。</w:t>
      </w:r>
    </w:p>
    <w:p>
      <w:pPr>
        <w:spacing w:line="360" w:lineRule="auto"/>
        <w:ind w:firstLine="480" w:firstLineChars="200"/>
        <w:rPr>
          <w:sz w:val="24"/>
          <w:szCs w:val="24"/>
        </w:rPr>
      </w:pPr>
      <w:r>
        <w:rPr>
          <w:rFonts w:hint="eastAsia"/>
          <w:sz w:val="24"/>
          <w:szCs w:val="24"/>
        </w:rPr>
        <w:t>开户行：中国工商银行房山支行良乡分理处；</w:t>
      </w:r>
    </w:p>
    <w:p>
      <w:pPr>
        <w:spacing w:line="360" w:lineRule="auto"/>
        <w:ind w:firstLine="480" w:firstLineChars="200"/>
        <w:rPr>
          <w:sz w:val="24"/>
          <w:szCs w:val="24"/>
        </w:rPr>
      </w:pPr>
      <w:r>
        <w:rPr>
          <w:rFonts w:hint="eastAsia"/>
          <w:sz w:val="24"/>
          <w:szCs w:val="24"/>
        </w:rPr>
        <w:t>户名：中国社会科学院大学；</w:t>
      </w:r>
    </w:p>
    <w:p>
      <w:pPr>
        <w:spacing w:line="360" w:lineRule="auto"/>
        <w:ind w:firstLine="480" w:firstLineChars="200"/>
        <w:rPr>
          <w:sz w:val="24"/>
          <w:szCs w:val="24"/>
        </w:rPr>
      </w:pPr>
      <w:r>
        <w:rPr>
          <w:rFonts w:hint="eastAsia"/>
          <w:sz w:val="24"/>
          <w:szCs w:val="24"/>
        </w:rPr>
        <w:t>账户：0200 0264 0920 0176 883</w:t>
      </w:r>
    </w:p>
    <w:p>
      <w:pPr>
        <w:spacing w:beforeLines="30" w:afterLines="30" w:line="288" w:lineRule="auto"/>
        <w:ind w:firstLine="643" w:firstLineChars="200"/>
        <w:rPr>
          <w:rFonts w:ascii="黑体" w:hAnsi="黑体" w:eastAsia="黑体" w:cs="Times New Roman"/>
          <w:b/>
          <w:sz w:val="32"/>
          <w:szCs w:val="28"/>
        </w:rPr>
      </w:pPr>
      <w:r>
        <w:rPr>
          <w:rFonts w:hint="eastAsia" w:ascii="黑体" w:hAnsi="黑体" w:eastAsia="黑体" w:cs="Times New Roman"/>
          <w:b/>
          <w:sz w:val="32"/>
          <w:szCs w:val="28"/>
        </w:rPr>
        <w:t>十、证书与学位</w:t>
      </w:r>
    </w:p>
    <w:p>
      <w:pPr>
        <w:spacing w:line="360" w:lineRule="auto"/>
        <w:ind w:firstLine="480" w:firstLineChars="200"/>
        <w:rPr>
          <w:sz w:val="24"/>
          <w:szCs w:val="24"/>
        </w:rPr>
      </w:pPr>
      <w:r>
        <w:rPr>
          <w:rFonts w:hint="eastAsia"/>
          <w:sz w:val="24"/>
          <w:szCs w:val="24"/>
        </w:rPr>
        <w:t>1、学员修完全部课程且考试成绩合格者，颁发《中国社会科学院研究生院高级课程研修班结业证书》（钢印、红印、统一编号）。</w:t>
      </w:r>
    </w:p>
    <w:p>
      <w:pPr>
        <w:spacing w:line="360" w:lineRule="auto"/>
        <w:ind w:firstLine="480" w:firstLineChars="200"/>
        <w:rPr>
          <w:sz w:val="24"/>
          <w:szCs w:val="24"/>
        </w:rPr>
      </w:pPr>
      <w:r>
        <w:rPr>
          <w:rFonts w:hint="eastAsia"/>
          <w:sz w:val="24"/>
          <w:szCs w:val="24"/>
        </w:rPr>
        <w:t>2、符合同等学力申请博士学位条件的学员可按照我院有关规定申请博士学位，通过考试与论文答辩者由中国社会科学院研究生院颁发经国务院学位委员会批准的博士学位证书。</w:t>
      </w:r>
    </w:p>
    <w:p>
      <w:pPr>
        <w:spacing w:beforeLines="30" w:afterLines="30" w:line="288" w:lineRule="auto"/>
        <w:ind w:firstLine="643" w:firstLineChars="200"/>
        <w:rPr>
          <w:rFonts w:ascii="黑体" w:hAnsi="黑体" w:eastAsia="黑体" w:cs="Times New Roman"/>
          <w:b/>
          <w:sz w:val="32"/>
          <w:szCs w:val="28"/>
        </w:rPr>
      </w:pPr>
      <w:r>
        <w:rPr>
          <w:rFonts w:ascii="黑体" w:hAnsi="黑体" w:eastAsia="黑体" w:cs="Times New Roman"/>
          <w:b/>
          <w:sz w:val="32"/>
          <w:szCs w:val="28"/>
        </w:rPr>
        <w:t>十一</w:t>
      </w:r>
      <w:r>
        <w:rPr>
          <w:rFonts w:hint="eastAsia" w:ascii="黑体" w:hAnsi="黑体" w:eastAsia="黑体" w:cs="Times New Roman"/>
          <w:b/>
          <w:sz w:val="32"/>
          <w:szCs w:val="28"/>
        </w:rPr>
        <w:t>、报名事宜</w:t>
      </w:r>
    </w:p>
    <w:p>
      <w:pPr>
        <w:spacing w:line="360" w:lineRule="auto"/>
        <w:ind w:firstLine="480" w:firstLineChars="200"/>
        <w:rPr>
          <w:sz w:val="24"/>
          <w:szCs w:val="24"/>
        </w:rPr>
      </w:pPr>
      <w:r>
        <w:rPr>
          <w:rFonts w:hint="eastAsia"/>
          <w:sz w:val="24"/>
          <w:szCs w:val="24"/>
        </w:rPr>
        <w:t>1、学员提交报名申请表、个人身份证复印件、研究生学位证书或毕业证书复印件/研究生同等学力证书复印件/职称证书复印件、持有学士学位报名者需提交其上级主管单位开具的推荐信；2寸免冠彩色（非红底）近照4张。</w:t>
      </w:r>
    </w:p>
    <w:p>
      <w:pPr>
        <w:spacing w:line="360" w:lineRule="auto"/>
        <w:ind w:firstLine="480" w:firstLineChars="200"/>
        <w:rPr>
          <w:sz w:val="24"/>
          <w:szCs w:val="24"/>
        </w:rPr>
      </w:pPr>
      <w:r>
        <w:rPr>
          <w:rFonts w:hint="eastAsia"/>
          <w:sz w:val="24"/>
          <w:szCs w:val="24"/>
        </w:rPr>
        <w:t>2、学院审核学员报名申请资料，择优录取；持有学士学位情况优秀者可酌情录取；</w:t>
      </w:r>
    </w:p>
    <w:p>
      <w:pPr>
        <w:spacing w:line="360" w:lineRule="auto"/>
        <w:ind w:firstLine="480" w:firstLineChars="200"/>
        <w:rPr>
          <w:sz w:val="24"/>
          <w:szCs w:val="24"/>
        </w:rPr>
      </w:pPr>
      <w:r>
        <w:rPr>
          <w:rFonts w:hint="eastAsia"/>
          <w:sz w:val="24"/>
          <w:szCs w:val="24"/>
        </w:rPr>
        <w:t>3、面试合格后学院向已录取学员寄发录取通知书；</w:t>
      </w:r>
    </w:p>
    <w:p>
      <w:pPr>
        <w:spacing w:line="360" w:lineRule="auto"/>
        <w:ind w:firstLine="480" w:firstLineChars="200"/>
        <w:rPr>
          <w:sz w:val="24"/>
          <w:szCs w:val="24"/>
        </w:rPr>
      </w:pPr>
      <w:r>
        <w:rPr>
          <w:rFonts w:hint="eastAsia"/>
          <w:sz w:val="24"/>
          <w:szCs w:val="24"/>
        </w:rPr>
        <w:t>4、学员收到录取通知书后按规定方式与时间交纳学费；</w:t>
      </w:r>
    </w:p>
    <w:p>
      <w:pPr>
        <w:spacing w:line="360" w:lineRule="auto"/>
        <w:ind w:firstLine="480" w:firstLineChars="200"/>
        <w:rPr>
          <w:sz w:val="24"/>
          <w:szCs w:val="24"/>
        </w:rPr>
      </w:pPr>
      <w:r>
        <w:rPr>
          <w:rFonts w:hint="eastAsia"/>
          <w:sz w:val="24"/>
          <w:szCs w:val="24"/>
        </w:rPr>
        <w:t>5、学员在开学当日持交费凭证办理报名注册、领取相关资料，正式入学。</w:t>
      </w:r>
    </w:p>
    <w:p>
      <w:pPr>
        <w:spacing w:line="360" w:lineRule="auto"/>
        <w:ind w:firstLine="480" w:firstLineChars="200"/>
        <w:rPr>
          <w:sz w:val="24"/>
          <w:szCs w:val="24"/>
        </w:rPr>
      </w:pPr>
      <w:r>
        <w:rPr>
          <w:rFonts w:hint="eastAsia"/>
          <w:sz w:val="24"/>
          <w:szCs w:val="24"/>
        </w:rPr>
        <w:t>网上预报名申请（电子邮件传递电子版报名表）---（或直接）将身份证和学位证扫描件及目前工作背景简介email至：13121135903@qq.com</w:t>
      </w:r>
    </w:p>
    <w:p>
      <w:pPr>
        <w:spacing w:line="360" w:lineRule="auto"/>
        <w:ind w:firstLine="480" w:firstLineChars="200"/>
        <w:rPr>
          <w:sz w:val="24"/>
          <w:szCs w:val="24"/>
        </w:rPr>
      </w:pPr>
    </w:p>
    <w:p>
      <w:pPr>
        <w:spacing w:beforeLines="30" w:afterLines="30" w:line="288" w:lineRule="auto"/>
        <w:ind w:firstLine="643" w:firstLineChars="200"/>
        <w:rPr>
          <w:rFonts w:ascii="黑体" w:hAnsi="黑体" w:eastAsia="黑体" w:cs="Times New Roman"/>
          <w:b/>
          <w:sz w:val="32"/>
          <w:szCs w:val="28"/>
        </w:rPr>
      </w:pPr>
      <w:r>
        <w:rPr>
          <w:rFonts w:ascii="黑体" w:hAnsi="黑体" w:eastAsia="黑体" w:cs="Times New Roman"/>
          <w:b/>
          <w:sz w:val="32"/>
          <w:szCs w:val="28"/>
        </w:rPr>
        <w:t>十二</w:t>
      </w:r>
      <w:r>
        <w:rPr>
          <w:rFonts w:hint="eastAsia" w:ascii="黑体" w:hAnsi="黑体" w:eastAsia="黑体" w:cs="Times New Roman"/>
          <w:b/>
          <w:sz w:val="32"/>
          <w:szCs w:val="28"/>
        </w:rPr>
        <w:t>、</w:t>
      </w:r>
      <w:r>
        <w:rPr>
          <w:rFonts w:ascii="黑体" w:hAnsi="黑体" w:eastAsia="黑体" w:cs="Times New Roman"/>
          <w:b/>
          <w:sz w:val="32"/>
          <w:szCs w:val="28"/>
        </w:rPr>
        <w:t>报名咨询</w:t>
      </w:r>
    </w:p>
    <w:p>
      <w:pPr>
        <w:spacing w:line="360" w:lineRule="auto"/>
        <w:ind w:firstLine="480" w:firstLineChars="200"/>
        <w:rPr>
          <w:sz w:val="24"/>
          <w:szCs w:val="24"/>
        </w:rPr>
      </w:pPr>
      <w:r>
        <w:rPr>
          <w:rFonts w:hint="eastAsia"/>
          <w:sz w:val="24"/>
          <w:szCs w:val="24"/>
        </w:rPr>
        <w:t>咨询电话：400-061-6586</w:t>
      </w:r>
    </w:p>
    <w:p>
      <w:pPr>
        <w:spacing w:line="360" w:lineRule="auto"/>
        <w:ind w:firstLine="480" w:firstLineChars="200"/>
        <w:rPr>
          <w:sz w:val="24"/>
          <w:szCs w:val="24"/>
        </w:rPr>
      </w:pPr>
      <w:r>
        <w:rPr>
          <w:rFonts w:hint="eastAsia"/>
          <w:sz w:val="24"/>
          <w:szCs w:val="24"/>
        </w:rPr>
        <w:t xml:space="preserve">报名地址：深圳南山科技园虚拟大学园 </w:t>
      </w:r>
    </w:p>
    <w:p>
      <w:pPr>
        <w:spacing w:line="360" w:lineRule="auto"/>
        <w:ind w:firstLine="480" w:firstLineChars="200"/>
        <w:rPr>
          <w:sz w:val="24"/>
          <w:szCs w:val="24"/>
        </w:rPr>
      </w:pPr>
      <w:r>
        <w:rPr>
          <w:rFonts w:hint="eastAsia"/>
          <w:sz w:val="24"/>
          <w:szCs w:val="24"/>
        </w:rPr>
        <w:t>上课地址：深圳南山科技园虚拟大学园</w:t>
      </w:r>
    </w:p>
    <w:p>
      <w:pPr>
        <w:spacing w:beforeLines="30" w:afterLines="30" w:line="288" w:lineRule="auto"/>
        <w:ind w:firstLine="643" w:firstLineChars="200"/>
        <w:rPr>
          <w:rFonts w:ascii="黑体" w:hAnsi="黑体" w:eastAsia="黑体" w:cs="Times New Roman"/>
          <w:b/>
          <w:sz w:val="32"/>
          <w:szCs w:val="28"/>
        </w:rPr>
      </w:pPr>
      <w:r>
        <w:rPr>
          <w:rFonts w:hint="eastAsia" w:ascii="黑体" w:hAnsi="黑体" w:eastAsia="黑体" w:cs="Times New Roman"/>
          <w:b/>
          <w:sz w:val="32"/>
          <w:szCs w:val="28"/>
        </w:rPr>
        <w:t>附：中国社科院研究生院高级课程研修班企业管理专业课程计划</w:t>
      </w:r>
    </w:p>
    <w:tbl>
      <w:tblPr>
        <w:tblStyle w:val="6"/>
        <w:tblpPr w:leftFromText="180" w:rightFromText="180" w:vertAnchor="text" w:horzAnchor="page" w:tblpX="1777" w:tblpY="461"/>
        <w:tblOverlap w:val="never"/>
        <w:tblW w:w="83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39"/>
        <w:gridCol w:w="1276"/>
        <w:gridCol w:w="4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39" w:type="dxa"/>
            <w:shd w:val="clear" w:color="auto" w:fill="auto"/>
          </w:tcPr>
          <w:p>
            <w:pPr>
              <w:pStyle w:val="5"/>
              <w:spacing w:before="0" w:beforeAutospacing="0" w:afterLines="20" w:afterAutospacing="0" w:line="312" w:lineRule="auto"/>
              <w:ind w:firstLine="482"/>
              <w:rPr>
                <w:rFonts w:ascii="黑体" w:hAnsi="黑体" w:eastAsia="黑体" w:cs="Tahoma"/>
                <w:b/>
              </w:rPr>
            </w:pPr>
            <w:r>
              <w:rPr>
                <w:rFonts w:hint="eastAsia" w:ascii="黑体" w:hAnsi="黑体" w:eastAsia="黑体" w:cs="Tahoma"/>
                <w:b/>
              </w:rPr>
              <w:t>课程名称</w:t>
            </w:r>
          </w:p>
        </w:tc>
        <w:tc>
          <w:tcPr>
            <w:tcW w:w="1276" w:type="dxa"/>
            <w:shd w:val="clear" w:color="auto" w:fill="auto"/>
          </w:tcPr>
          <w:p>
            <w:pPr>
              <w:pStyle w:val="5"/>
              <w:spacing w:before="0" w:beforeAutospacing="0" w:afterLines="20" w:afterAutospacing="0" w:line="312" w:lineRule="auto"/>
              <w:rPr>
                <w:rFonts w:ascii="黑体" w:hAnsi="黑体" w:eastAsia="黑体" w:cs="Tahoma"/>
                <w:b/>
              </w:rPr>
            </w:pPr>
            <w:r>
              <w:rPr>
                <w:rFonts w:hint="eastAsia" w:ascii="黑体" w:hAnsi="黑体" w:eastAsia="黑体" w:cs="Tahoma"/>
                <w:b/>
              </w:rPr>
              <w:t>授课老师</w:t>
            </w:r>
          </w:p>
        </w:tc>
        <w:tc>
          <w:tcPr>
            <w:tcW w:w="4649" w:type="dxa"/>
            <w:shd w:val="clear" w:color="auto" w:fill="auto"/>
          </w:tcPr>
          <w:p>
            <w:pPr>
              <w:pStyle w:val="5"/>
              <w:spacing w:before="0" w:beforeAutospacing="0" w:afterLines="20" w:afterAutospacing="0" w:line="312" w:lineRule="auto"/>
              <w:ind w:firstLine="482"/>
              <w:rPr>
                <w:rFonts w:ascii="黑体" w:hAnsi="黑体" w:eastAsia="黑体" w:cs="Tahoma"/>
                <w:b/>
              </w:rPr>
            </w:pPr>
            <w:r>
              <w:rPr>
                <w:rFonts w:hint="eastAsia" w:ascii="黑体" w:hAnsi="黑体" w:eastAsia="黑体" w:cs="Tahoma"/>
                <w:b/>
              </w:rPr>
              <w:t>博导简介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39" w:type="dxa"/>
            <w:shd w:val="clear" w:color="auto" w:fill="auto"/>
          </w:tcPr>
          <w:p>
            <w:r>
              <w:rPr>
                <w:rFonts w:hint="eastAsia"/>
              </w:rPr>
              <w:t>高级产业经济学</w:t>
            </w:r>
          </w:p>
        </w:tc>
        <w:tc>
          <w:tcPr>
            <w:tcW w:w="1276" w:type="dxa"/>
            <w:shd w:val="clear" w:color="auto" w:fill="auto"/>
          </w:tcPr>
          <w:p>
            <w:r>
              <w:rPr>
                <w:rFonts w:hint="eastAsia"/>
              </w:rPr>
              <w:t>金   碚</w:t>
            </w:r>
          </w:p>
        </w:tc>
        <w:tc>
          <w:tcPr>
            <w:tcW w:w="4649" w:type="dxa"/>
            <w:shd w:val="clear" w:color="auto" w:fill="auto"/>
          </w:tcPr>
          <w:p>
            <w:r>
              <w:rPr>
                <w:rFonts w:hint="eastAsia"/>
              </w:rPr>
              <w:t>中国社会科学院学部委员,工业经济研究所原所长、中国区域经济研究会会长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39" w:type="dxa"/>
            <w:shd w:val="clear" w:color="auto" w:fill="auto"/>
          </w:tcPr>
          <w:p>
            <w:r>
              <w:rPr>
                <w:rFonts w:hint="eastAsia"/>
              </w:rPr>
              <w:t>行业分析理论与方法</w:t>
            </w:r>
          </w:p>
        </w:tc>
        <w:tc>
          <w:tcPr>
            <w:tcW w:w="1276" w:type="dxa"/>
            <w:shd w:val="clear" w:color="auto" w:fill="auto"/>
          </w:tcPr>
          <w:p>
            <w:r>
              <w:rPr>
                <w:rFonts w:hint="eastAsia"/>
              </w:rPr>
              <w:t>于   立</w:t>
            </w:r>
          </w:p>
        </w:tc>
        <w:tc>
          <w:tcPr>
            <w:tcW w:w="4649" w:type="dxa"/>
            <w:shd w:val="clear" w:color="auto" w:fill="auto"/>
          </w:tcPr>
          <w:p>
            <w:r>
              <w:rPr>
                <w:rFonts w:hint="eastAsia"/>
              </w:rPr>
              <w:t xml:space="preserve">  中国社科院兼职教授，天津财大原副校长。研究领域为产业组织理论与政策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39" w:type="dxa"/>
            <w:shd w:val="clear" w:color="auto" w:fill="auto"/>
          </w:tcPr>
          <w:p>
            <w:pPr>
              <w:pStyle w:val="5"/>
              <w:spacing w:before="0" w:beforeAutospacing="0" w:afterLines="20" w:afterAutospacing="0" w:line="312" w:lineRule="auto"/>
              <w:rPr>
                <w:rFonts w:cs="Tahoma"/>
                <w:sz w:val="21"/>
                <w:szCs w:val="21"/>
              </w:rPr>
            </w:pPr>
            <w:r>
              <w:rPr>
                <w:rFonts w:hint="eastAsia" w:cs="Arial"/>
                <w:sz w:val="21"/>
                <w:szCs w:val="21"/>
              </w:rPr>
              <w:t>管理研究方法</w:t>
            </w:r>
            <w:r>
              <w:rPr>
                <w:rFonts w:hint="eastAsia" w:cs="Arial"/>
                <w:sz w:val="21"/>
                <w:szCs w:val="21"/>
              </w:rPr>
              <w:tab/>
            </w:r>
            <w:r>
              <w:rPr>
                <w:rFonts w:hint="eastAsia" w:cs="Arial"/>
                <w:sz w:val="21"/>
                <w:szCs w:val="21"/>
              </w:rPr>
              <w:tab/>
            </w:r>
            <w:r>
              <w:rPr>
                <w:rFonts w:hint="eastAsia" w:cs="Arial"/>
                <w:sz w:val="21"/>
                <w:szCs w:val="21"/>
              </w:rPr>
              <w:t xml:space="preserve">  </w:t>
            </w:r>
          </w:p>
        </w:tc>
        <w:tc>
          <w:tcPr>
            <w:tcW w:w="1276" w:type="dxa"/>
            <w:shd w:val="clear" w:color="auto" w:fill="auto"/>
          </w:tcPr>
          <w:p>
            <w:pPr>
              <w:pStyle w:val="5"/>
              <w:spacing w:before="0" w:beforeAutospacing="0" w:afterLines="20" w:afterAutospacing="0" w:line="312" w:lineRule="auto"/>
              <w:rPr>
                <w:rFonts w:cs="Tahoma"/>
                <w:sz w:val="21"/>
                <w:szCs w:val="21"/>
              </w:rPr>
            </w:pPr>
            <w:r>
              <w:rPr>
                <w:rFonts w:hint="eastAsia" w:cs="Arial"/>
                <w:sz w:val="21"/>
                <w:szCs w:val="21"/>
              </w:rPr>
              <w:t>魏   峰</w:t>
            </w:r>
          </w:p>
        </w:tc>
        <w:tc>
          <w:tcPr>
            <w:tcW w:w="4649" w:type="dxa"/>
            <w:shd w:val="clear" w:color="auto" w:fill="auto"/>
          </w:tcPr>
          <w:p>
            <w:pPr>
              <w:pStyle w:val="5"/>
              <w:spacing w:before="0" w:beforeAutospacing="0" w:afterLines="20" w:afterAutospacing="0" w:line="312" w:lineRule="auto"/>
              <w:rPr>
                <w:rFonts w:cs="Tahoma"/>
                <w:sz w:val="21"/>
                <w:szCs w:val="21"/>
              </w:rPr>
            </w:pPr>
            <w:r>
              <w:rPr>
                <w:rFonts w:hint="eastAsia" w:cs="Arial"/>
                <w:sz w:val="21"/>
                <w:szCs w:val="21"/>
              </w:rPr>
              <w:t>同济大学经管学院学院教授，博导；美国弗吉尼亚大学达顿商学院访问学者战略环境变化与中国对外关系转型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39"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高级战略管理</w:t>
            </w:r>
            <w:r>
              <w:rPr>
                <w:rFonts w:hint="eastAsia" w:cs="Tahoma"/>
                <w:sz w:val="21"/>
                <w:szCs w:val="21"/>
              </w:rPr>
              <w:tab/>
            </w:r>
            <w:r>
              <w:rPr>
                <w:rFonts w:hint="eastAsia" w:cs="Tahoma"/>
                <w:sz w:val="21"/>
                <w:szCs w:val="21"/>
              </w:rPr>
              <w:tab/>
            </w:r>
            <w:r>
              <w:rPr>
                <w:rFonts w:hint="eastAsia" w:cs="Tahoma"/>
                <w:sz w:val="21"/>
                <w:szCs w:val="21"/>
              </w:rPr>
              <w:t xml:space="preserve">  </w:t>
            </w:r>
          </w:p>
        </w:tc>
        <w:tc>
          <w:tcPr>
            <w:tcW w:w="1276"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李海舰</w:t>
            </w:r>
          </w:p>
        </w:tc>
        <w:tc>
          <w:tcPr>
            <w:tcW w:w="4649"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中国社科院工经所副所长、中国工业经济社长，中国企业管理研究会副会长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39"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产业与企业战略</w:t>
            </w:r>
          </w:p>
        </w:tc>
        <w:tc>
          <w:tcPr>
            <w:tcW w:w="1276"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罗仲伟</w:t>
            </w:r>
          </w:p>
        </w:tc>
        <w:tc>
          <w:tcPr>
            <w:tcW w:w="4649"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中国社会科学院中小企业研究中心主任，教授、博导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39"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技术创新与战略管理</w:t>
            </w:r>
          </w:p>
        </w:tc>
        <w:tc>
          <w:tcPr>
            <w:tcW w:w="1276"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金周英</w:t>
            </w:r>
          </w:p>
        </w:tc>
        <w:tc>
          <w:tcPr>
            <w:tcW w:w="4649"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中国社科院技术创新和战略管理研究中心主任，数量经济所研究员，博导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39"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公司控制与企业并购</w:t>
            </w:r>
            <w:r>
              <w:rPr>
                <w:rFonts w:hint="eastAsia" w:cs="Tahoma"/>
                <w:sz w:val="21"/>
                <w:szCs w:val="21"/>
              </w:rPr>
              <w:tab/>
            </w:r>
          </w:p>
        </w:tc>
        <w:tc>
          <w:tcPr>
            <w:tcW w:w="1276"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黄速建</w:t>
            </w:r>
          </w:p>
        </w:tc>
        <w:tc>
          <w:tcPr>
            <w:tcW w:w="4649"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中国社科院工经所副所长,《经济管理》杂志主编；中国企业管理研究会会长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39"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 xml:space="preserve">创新管理与组织变革 </w:t>
            </w:r>
          </w:p>
        </w:tc>
        <w:tc>
          <w:tcPr>
            <w:tcW w:w="1276"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王   钦</w:t>
            </w:r>
          </w:p>
        </w:tc>
        <w:tc>
          <w:tcPr>
            <w:tcW w:w="4649"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中国社科院工业经济研究所企业管理研究室主任、研究员，教授、博导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39"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现代管理创新</w:t>
            </w:r>
            <w:r>
              <w:rPr>
                <w:rFonts w:hint="eastAsia" w:cs="Tahoma"/>
                <w:sz w:val="21"/>
                <w:szCs w:val="21"/>
              </w:rPr>
              <w:tab/>
            </w:r>
            <w:r>
              <w:rPr>
                <w:rFonts w:hint="eastAsia" w:cs="Tahoma"/>
                <w:sz w:val="21"/>
                <w:szCs w:val="21"/>
              </w:rPr>
              <w:tab/>
            </w:r>
            <w:r>
              <w:rPr>
                <w:rFonts w:hint="eastAsia" w:cs="Tahoma"/>
                <w:sz w:val="21"/>
                <w:szCs w:val="21"/>
              </w:rPr>
              <w:t xml:space="preserve">  </w:t>
            </w:r>
          </w:p>
        </w:tc>
        <w:tc>
          <w:tcPr>
            <w:tcW w:w="1276"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李海舰</w:t>
            </w:r>
          </w:p>
        </w:tc>
        <w:tc>
          <w:tcPr>
            <w:tcW w:w="4649"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中国社科院工经所副所长、中国工业经济社长，中国企业管理研究会副会长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39"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 xml:space="preserve">人力资源变革研究 </w:t>
            </w:r>
          </w:p>
        </w:tc>
        <w:tc>
          <w:tcPr>
            <w:tcW w:w="1276"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周文斌</w:t>
            </w:r>
          </w:p>
        </w:tc>
        <w:tc>
          <w:tcPr>
            <w:tcW w:w="4649"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中国社科院工业经济研究所研究员，《经济管理》杂志社社长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39"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领导力与领导艺术</w:t>
            </w:r>
          </w:p>
        </w:tc>
        <w:tc>
          <w:tcPr>
            <w:tcW w:w="1276"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兰国轩</w:t>
            </w:r>
          </w:p>
        </w:tc>
        <w:tc>
          <w:tcPr>
            <w:tcW w:w="4649"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中国社科院城市发展中心研究员，北京中美企联企业发展研究中心副主任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39"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公司金融</w:t>
            </w:r>
            <w:r>
              <w:rPr>
                <w:rFonts w:hint="eastAsia" w:cs="Tahoma"/>
                <w:sz w:val="21"/>
                <w:szCs w:val="21"/>
              </w:rPr>
              <w:tab/>
            </w:r>
            <w:r>
              <w:rPr>
                <w:rFonts w:hint="eastAsia" w:cs="Tahoma"/>
                <w:sz w:val="21"/>
                <w:szCs w:val="21"/>
              </w:rPr>
              <w:tab/>
            </w:r>
            <w:r>
              <w:rPr>
                <w:rFonts w:hint="eastAsia" w:cs="Tahoma"/>
                <w:sz w:val="21"/>
                <w:szCs w:val="21"/>
              </w:rPr>
              <w:t xml:space="preserve">  </w:t>
            </w:r>
          </w:p>
        </w:tc>
        <w:tc>
          <w:tcPr>
            <w:tcW w:w="1276"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张   斌</w:t>
            </w:r>
          </w:p>
        </w:tc>
        <w:tc>
          <w:tcPr>
            <w:tcW w:w="4649"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中国社科院财经战略研究院院长助理、税收研究室主任,博导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39"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投融资理论与实践</w:t>
            </w:r>
            <w:r>
              <w:rPr>
                <w:rFonts w:hint="eastAsia" w:cs="Tahoma"/>
                <w:sz w:val="21"/>
                <w:szCs w:val="21"/>
              </w:rPr>
              <w:tab/>
            </w:r>
          </w:p>
        </w:tc>
        <w:tc>
          <w:tcPr>
            <w:tcW w:w="1276"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杨   萍</w:t>
            </w:r>
          </w:p>
        </w:tc>
        <w:tc>
          <w:tcPr>
            <w:tcW w:w="4649"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中国社科院研究生院教授、博导，国家发改委投资研究所副所长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39"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创新与创业管理</w:t>
            </w:r>
            <w:r>
              <w:rPr>
                <w:rFonts w:hint="eastAsia" w:cs="Tahoma"/>
                <w:sz w:val="21"/>
                <w:szCs w:val="21"/>
              </w:rPr>
              <w:tab/>
            </w:r>
          </w:p>
        </w:tc>
        <w:tc>
          <w:tcPr>
            <w:tcW w:w="1276"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 xml:space="preserve">罗仲伟 </w:t>
            </w:r>
          </w:p>
        </w:tc>
        <w:tc>
          <w:tcPr>
            <w:tcW w:w="4649"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中国社会科学院中小企业研究中心主任，教授、博导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39"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人单合一管理学</w:t>
            </w:r>
            <w:r>
              <w:rPr>
                <w:rFonts w:hint="eastAsia" w:cs="Tahoma"/>
                <w:sz w:val="21"/>
                <w:szCs w:val="21"/>
              </w:rPr>
              <w:tab/>
            </w:r>
          </w:p>
        </w:tc>
        <w:tc>
          <w:tcPr>
            <w:tcW w:w="1276"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 xml:space="preserve">王   钦 </w:t>
            </w:r>
          </w:p>
        </w:tc>
        <w:tc>
          <w:tcPr>
            <w:tcW w:w="4649"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中国社科院工业经济研究所企业管理研究室主任、研究员，教授、博导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39"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互联网思维与平台经济</w:t>
            </w:r>
          </w:p>
        </w:tc>
        <w:tc>
          <w:tcPr>
            <w:tcW w:w="1276"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 xml:space="preserve">刘   勇 </w:t>
            </w:r>
          </w:p>
        </w:tc>
        <w:tc>
          <w:tcPr>
            <w:tcW w:w="4649"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中国社会科学院工业经济研究所投资与市场研究室主任，研究员、博导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39"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企业财务管理</w:t>
            </w:r>
            <w:r>
              <w:rPr>
                <w:rFonts w:hint="eastAsia" w:cs="Tahoma"/>
                <w:sz w:val="21"/>
                <w:szCs w:val="21"/>
              </w:rPr>
              <w:tab/>
            </w:r>
          </w:p>
        </w:tc>
        <w:tc>
          <w:tcPr>
            <w:tcW w:w="1276"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 xml:space="preserve">杜莹芬 </w:t>
            </w:r>
          </w:p>
        </w:tc>
        <w:tc>
          <w:tcPr>
            <w:tcW w:w="4649"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中国社会科学院工业经济研究所研究员、财务与会计研究室主任，博导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39"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西方经济学</w:t>
            </w:r>
            <w:r>
              <w:rPr>
                <w:rFonts w:hint="eastAsia" w:cs="Tahoma"/>
                <w:sz w:val="21"/>
                <w:szCs w:val="21"/>
              </w:rPr>
              <w:tab/>
            </w:r>
          </w:p>
        </w:tc>
        <w:tc>
          <w:tcPr>
            <w:tcW w:w="1276"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 xml:space="preserve">左大培 </w:t>
            </w:r>
          </w:p>
        </w:tc>
        <w:tc>
          <w:tcPr>
            <w:tcW w:w="4649" w:type="dxa"/>
            <w:shd w:val="clear" w:color="auto" w:fill="auto"/>
          </w:tcPr>
          <w:p>
            <w:pPr>
              <w:pStyle w:val="5"/>
              <w:spacing w:before="0" w:beforeAutospacing="0" w:afterLines="20" w:afterAutospacing="0" w:line="312" w:lineRule="auto"/>
              <w:rPr>
                <w:rFonts w:cs="Tahoma"/>
                <w:sz w:val="21"/>
                <w:szCs w:val="21"/>
              </w:rPr>
            </w:pPr>
            <w:r>
              <w:rPr>
                <w:rFonts w:hint="eastAsia" w:cs="Tahoma"/>
                <w:sz w:val="21"/>
                <w:szCs w:val="21"/>
              </w:rPr>
              <w:t>中国社会科学院经济思想史研究室副主任，教授、博导</w:t>
            </w:r>
          </w:p>
        </w:tc>
      </w:tr>
    </w:tbl>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
      <w:pPr>
        <w:jc w:val="center"/>
        <w:rPr>
          <w:rFonts w:ascii="微软雅黑" w:hAnsi="微软雅黑" w:eastAsia="微软雅黑"/>
          <w:bCs/>
          <w:sz w:val="44"/>
          <w:szCs w:val="44"/>
        </w:rPr>
      </w:pPr>
      <w:r>
        <w:rPr>
          <w:rFonts w:ascii="微软雅黑" w:hAnsi="微软雅黑" w:eastAsia="微软雅黑"/>
          <w:bCs/>
          <w:sz w:val="44"/>
          <w:szCs w:val="44"/>
        </w:rPr>
        <w:drawing>
          <wp:inline distT="0" distB="0" distL="0" distR="0">
            <wp:extent cx="1371600" cy="1371600"/>
            <wp:effectExtent l="0" t="0" r="0" b="0"/>
            <wp:docPr id="1" name="图片 1" descr="20121226031119796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21226031119796_smal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371600" cy="1371600"/>
                    </a:xfrm>
                    <a:prstGeom prst="rect">
                      <a:avLst/>
                    </a:prstGeom>
                    <a:noFill/>
                    <a:ln>
                      <a:noFill/>
                    </a:ln>
                  </pic:spPr>
                </pic:pic>
              </a:graphicData>
            </a:graphic>
          </wp:inline>
        </w:drawing>
      </w:r>
    </w:p>
    <w:p>
      <w:pPr>
        <w:jc w:val="center"/>
        <w:rPr>
          <w:rFonts w:ascii="微软雅黑" w:hAnsi="微软雅黑" w:eastAsia="微软雅黑"/>
          <w:bCs/>
          <w:sz w:val="44"/>
          <w:szCs w:val="44"/>
        </w:rPr>
      </w:pPr>
    </w:p>
    <w:p>
      <w:pPr>
        <w:jc w:val="center"/>
        <w:rPr>
          <w:rFonts w:ascii="微软雅黑" w:hAnsi="微软雅黑" w:eastAsia="微软雅黑"/>
          <w:bCs/>
          <w:sz w:val="44"/>
          <w:szCs w:val="44"/>
        </w:rPr>
      </w:pPr>
      <w:r>
        <w:rPr>
          <w:rFonts w:ascii="微软雅黑" w:hAnsi="微软雅黑" w:eastAsia="微软雅黑"/>
          <w:bCs/>
          <w:sz w:val="44"/>
          <w:szCs w:val="44"/>
        </w:rPr>
        <w:t>中国社会科学院研究生院</w:t>
      </w:r>
    </w:p>
    <w:p>
      <w:pPr>
        <w:jc w:val="center"/>
        <w:rPr>
          <w:rFonts w:ascii="微软雅黑" w:hAnsi="微软雅黑" w:eastAsia="微软雅黑"/>
          <w:bCs/>
          <w:sz w:val="44"/>
          <w:szCs w:val="44"/>
        </w:rPr>
      </w:pPr>
      <w:r>
        <w:rPr>
          <w:rFonts w:hint="eastAsia" w:ascii="微软雅黑" w:hAnsi="微软雅黑" w:eastAsia="微软雅黑"/>
          <w:bCs/>
          <w:sz w:val="44"/>
          <w:szCs w:val="44"/>
        </w:rPr>
        <w:t>高级课程班报名表</w:t>
      </w:r>
    </w:p>
    <w:p>
      <w:pPr>
        <w:jc w:val="center"/>
        <w:rPr>
          <w:rFonts w:ascii="微软雅黑" w:hAnsi="微软雅黑" w:eastAsia="微软雅黑"/>
          <w:bCs/>
          <w:sz w:val="44"/>
          <w:szCs w:val="44"/>
        </w:rPr>
      </w:pPr>
    </w:p>
    <w:p>
      <w:pPr>
        <w:jc w:val="center"/>
        <w:rPr>
          <w:rFonts w:ascii="微软雅黑" w:hAnsi="微软雅黑" w:eastAsia="微软雅黑"/>
          <w:bCs/>
          <w:sz w:val="44"/>
          <w:szCs w:val="44"/>
        </w:rPr>
      </w:pPr>
    </w:p>
    <w:p>
      <w:pPr>
        <w:ind w:left="360"/>
        <w:rPr>
          <w:rFonts w:ascii="微软雅黑" w:hAnsi="微软雅黑" w:eastAsia="微软雅黑"/>
          <w:bCs/>
          <w:sz w:val="32"/>
          <w:szCs w:val="32"/>
          <w:u w:val="single"/>
        </w:rPr>
      </w:pPr>
      <w:r>
        <w:rPr>
          <w:rFonts w:hint="eastAsia" w:ascii="微软雅黑" w:hAnsi="微软雅黑" w:eastAsia="微软雅黑"/>
          <w:bCs/>
          <w:sz w:val="32"/>
          <w:szCs w:val="32"/>
        </w:rPr>
        <w:t xml:space="preserve">            学员姓名：</w:t>
      </w:r>
      <w:r>
        <w:rPr>
          <w:rFonts w:hint="eastAsia" w:ascii="微软雅黑" w:hAnsi="微软雅黑" w:eastAsia="微软雅黑"/>
          <w:bCs/>
          <w:sz w:val="32"/>
          <w:szCs w:val="32"/>
          <w:u w:val="single"/>
        </w:rPr>
        <w:t xml:space="preserve">                  </w:t>
      </w:r>
    </w:p>
    <w:p>
      <w:pPr>
        <w:ind w:left="360"/>
        <w:rPr>
          <w:rFonts w:ascii="微软雅黑" w:hAnsi="微软雅黑" w:eastAsia="微软雅黑"/>
          <w:bCs/>
          <w:sz w:val="32"/>
          <w:szCs w:val="32"/>
        </w:rPr>
      </w:pPr>
      <w:r>
        <w:rPr>
          <w:rFonts w:hint="eastAsia" w:ascii="微软雅黑" w:hAnsi="微软雅黑" w:eastAsia="微软雅黑"/>
          <w:bCs/>
          <w:sz w:val="32"/>
          <w:szCs w:val="32"/>
        </w:rPr>
        <w:t xml:space="preserve">            </w:t>
      </w:r>
    </w:p>
    <w:p>
      <w:pPr>
        <w:ind w:left="359" w:leftChars="171" w:firstLine="1920" w:firstLineChars="600"/>
        <w:rPr>
          <w:rFonts w:ascii="微软雅黑" w:hAnsi="微软雅黑" w:eastAsia="微软雅黑"/>
          <w:bCs/>
          <w:sz w:val="32"/>
          <w:szCs w:val="32"/>
          <w:u w:val="single"/>
        </w:rPr>
      </w:pPr>
      <w:r>
        <w:rPr>
          <w:rFonts w:hint="eastAsia" w:ascii="微软雅黑" w:hAnsi="微软雅黑" w:eastAsia="微软雅黑"/>
          <w:bCs/>
          <w:sz w:val="32"/>
          <w:szCs w:val="32"/>
        </w:rPr>
        <w:t>报读专业：</w:t>
      </w:r>
      <w:r>
        <w:rPr>
          <w:rFonts w:hint="eastAsia" w:ascii="微软雅黑" w:hAnsi="微软雅黑" w:eastAsia="微软雅黑"/>
          <w:bCs/>
          <w:sz w:val="32"/>
          <w:szCs w:val="32"/>
          <w:u w:val="single"/>
        </w:rPr>
        <w:t xml:space="preserve">                  </w:t>
      </w:r>
    </w:p>
    <w:p>
      <w:pPr>
        <w:ind w:left="360"/>
        <w:rPr>
          <w:rFonts w:ascii="微软雅黑" w:hAnsi="微软雅黑" w:eastAsia="微软雅黑"/>
          <w:bCs/>
          <w:sz w:val="32"/>
          <w:szCs w:val="32"/>
        </w:rPr>
      </w:pPr>
      <w:r>
        <w:rPr>
          <w:rFonts w:hint="eastAsia" w:ascii="微软雅黑" w:hAnsi="微软雅黑" w:eastAsia="微软雅黑"/>
          <w:bCs/>
          <w:sz w:val="32"/>
          <w:szCs w:val="32"/>
        </w:rPr>
        <w:t xml:space="preserve">        </w:t>
      </w:r>
    </w:p>
    <w:p>
      <w:pPr>
        <w:ind w:left="359" w:leftChars="171" w:firstLine="480" w:firstLineChars="150"/>
        <w:rPr>
          <w:rFonts w:ascii="微软雅黑" w:hAnsi="微软雅黑" w:eastAsia="微软雅黑"/>
          <w:bCs/>
          <w:sz w:val="32"/>
          <w:szCs w:val="32"/>
          <w:u w:val="single"/>
        </w:rPr>
      </w:pPr>
      <w:r>
        <w:rPr>
          <w:rFonts w:hint="eastAsia" w:ascii="微软雅黑" w:hAnsi="微软雅黑" w:eastAsia="微软雅黑"/>
          <w:bCs/>
          <w:sz w:val="32"/>
          <w:szCs w:val="32"/>
        </w:rPr>
        <w:t xml:space="preserve">         填写日期：</w:t>
      </w:r>
      <w:r>
        <w:rPr>
          <w:rFonts w:hint="eastAsia" w:ascii="微软雅黑" w:hAnsi="微软雅黑" w:eastAsia="微软雅黑"/>
          <w:bCs/>
          <w:sz w:val="32"/>
          <w:szCs w:val="32"/>
          <w:u w:val="single"/>
        </w:rPr>
        <w:t xml:space="preserve">                  </w:t>
      </w:r>
    </w:p>
    <w:p>
      <w:pPr>
        <w:ind w:left="360"/>
        <w:rPr>
          <w:rFonts w:ascii="微软雅黑" w:hAnsi="微软雅黑" w:eastAsia="微软雅黑"/>
          <w:bCs/>
          <w:sz w:val="32"/>
          <w:szCs w:val="32"/>
          <w:u w:val="single"/>
        </w:rPr>
      </w:pPr>
    </w:p>
    <w:p/>
    <w:p/>
    <w:p/>
    <w:p>
      <w:pPr>
        <w:rPr>
          <w:rFonts w:ascii="微软雅黑" w:hAnsi="微软雅黑" w:eastAsia="微软雅黑" w:cs="微软雅黑"/>
          <w:bCs/>
          <w:sz w:val="32"/>
          <w:szCs w:val="32"/>
        </w:rPr>
      </w:pPr>
      <w:r>
        <w:rPr>
          <w:rFonts w:hint="eastAsia" w:ascii="微软雅黑" w:hAnsi="微软雅黑" w:eastAsia="微软雅黑"/>
          <w:bCs/>
          <w:kern w:val="0"/>
          <w:sz w:val="22"/>
          <w:szCs w:val="20"/>
        </w:rPr>
        <w:t>注：根据国务院学位委员会、教育部（2013）36号文件，中国社科院研究生院自2014年起，原“在职博士课程班”更名为“高级课程班”，同等学力申请博士学位的管理办法目前不变。</w:t>
      </w:r>
      <w:r>
        <w:rPr>
          <w:rFonts w:hint="eastAsia" w:ascii="微软雅黑" w:hAnsi="微软雅黑" w:eastAsia="微软雅黑" w:cs="微软雅黑"/>
          <w:bCs/>
          <w:sz w:val="32"/>
          <w:szCs w:val="32"/>
        </w:rPr>
        <w:t xml:space="preserve"> </w:t>
      </w:r>
    </w:p>
    <w:p>
      <w:pPr>
        <w:pStyle w:val="12"/>
      </w:pPr>
    </w:p>
    <w:p>
      <w:pPr>
        <w:pStyle w:val="12"/>
        <w:rPr>
          <w:rFonts w:ascii="微软雅黑" w:hAnsi="微软雅黑" w:eastAsia="微软雅黑" w:cs="微软雅黑"/>
          <w:sz w:val="24"/>
          <w:szCs w:val="24"/>
        </w:rPr>
        <w:sectPr>
          <w:headerReference r:id="rId5" w:type="first"/>
          <w:footerReference r:id="rId8" w:type="first"/>
          <w:headerReference r:id="rId3" w:type="default"/>
          <w:footerReference r:id="rId6" w:type="default"/>
          <w:headerReference r:id="rId4" w:type="even"/>
          <w:footerReference r:id="rId7" w:type="even"/>
          <w:pgSz w:w="11906" w:h="16838"/>
          <w:pgMar w:top="1213" w:right="1349" w:bottom="1213" w:left="1293" w:header="851" w:footer="992" w:gutter="0"/>
          <w:cols w:space="720" w:num="1"/>
          <w:docGrid w:type="lines" w:linePitch="312" w:charSpace="0"/>
        </w:sectPr>
      </w:pPr>
    </w:p>
    <w:p>
      <w:pPr>
        <w:spacing w:line="460" w:lineRule="exact"/>
        <w:rPr>
          <w:rFonts w:ascii="微软雅黑" w:hAnsi="微软雅黑" w:eastAsia="微软雅黑"/>
          <w:b/>
          <w:kern w:val="0"/>
          <w:sz w:val="28"/>
          <w:lang w:val="en-GB"/>
        </w:rPr>
      </w:pPr>
      <w:r>
        <w:rPr>
          <w:rFonts w:hint="eastAsia" w:ascii="微软雅黑" w:hAnsi="微软雅黑" w:eastAsia="微软雅黑"/>
          <w:b/>
          <w:kern w:val="0"/>
          <w:sz w:val="28"/>
          <w:lang w:val="en-GB"/>
        </w:rPr>
        <w:t>为了使您的报名有效，请如实填写并按要求提供所需资料，同时请认真阅读并签字确认。</w:t>
      </w:r>
    </w:p>
    <w:p>
      <w:pPr>
        <w:jc w:val="left"/>
        <w:rPr>
          <w:rFonts w:ascii="微软雅黑" w:hAnsi="微软雅黑" w:eastAsia="微软雅黑" w:cs="微软雅黑"/>
          <w:szCs w:val="21"/>
        </w:rPr>
      </w:pPr>
    </w:p>
    <w:p>
      <w:pPr>
        <w:jc w:val="left"/>
        <w:rPr>
          <w:rFonts w:ascii="微软雅黑" w:hAnsi="微软雅黑" w:eastAsia="微软雅黑" w:cs="微软雅黑"/>
          <w:b/>
          <w:bCs/>
          <w:szCs w:val="21"/>
        </w:rPr>
      </w:pPr>
      <w:r>
        <w:rPr>
          <w:rFonts w:hint="eastAsia" w:ascii="微软雅黑" w:hAnsi="微软雅黑" w:eastAsia="微软雅黑" w:cs="微软雅黑"/>
          <w:b/>
          <w:bCs/>
          <w:szCs w:val="21"/>
        </w:rPr>
        <w:t>所需资料</w:t>
      </w:r>
    </w:p>
    <w:p>
      <w:pPr>
        <w:numPr>
          <w:ilvl w:val="0"/>
          <w:numId w:val="1"/>
        </w:numPr>
        <w:jc w:val="left"/>
        <w:rPr>
          <w:rFonts w:ascii="微软雅黑" w:hAnsi="微软雅黑" w:eastAsia="微软雅黑" w:cs="微软雅黑"/>
          <w:szCs w:val="21"/>
        </w:rPr>
      </w:pPr>
      <w:r>
        <w:rPr>
          <w:rFonts w:hint="eastAsia" w:ascii="微软雅黑" w:hAnsi="微软雅黑" w:eastAsia="微软雅黑" w:cs="微软雅黑"/>
          <w:szCs w:val="21"/>
        </w:rPr>
        <w:t>报名表</w:t>
      </w:r>
    </w:p>
    <w:p>
      <w:pPr>
        <w:rPr>
          <w:rFonts w:ascii="微软雅黑" w:hAnsi="微软雅黑" w:eastAsia="微软雅黑" w:cs="微软雅黑"/>
          <w:szCs w:val="21"/>
        </w:rPr>
      </w:pPr>
      <w:r>
        <w:rPr>
          <w:rFonts w:hint="eastAsia" w:ascii="微软雅黑" w:hAnsi="微软雅黑" w:eastAsia="微软雅黑" w:cs="微软雅黑"/>
          <w:szCs w:val="21"/>
        </w:rPr>
        <w:t>此申请表必须由申请人填写，完整清晰填写各项内容，并保证所填内容属实。如经核实发现造假行为，将取消报名资格。</w:t>
      </w:r>
    </w:p>
    <w:p>
      <w:pPr>
        <w:rPr>
          <w:rFonts w:ascii="微软雅黑" w:hAnsi="微软雅黑" w:eastAsia="微软雅黑" w:cs="微软雅黑"/>
          <w:szCs w:val="21"/>
        </w:rPr>
      </w:pPr>
      <w:r>
        <w:rPr>
          <w:rFonts w:hint="eastAsia" w:ascii="微软雅黑" w:hAnsi="微软雅黑" w:eastAsia="微软雅黑" w:cs="微软雅黑"/>
          <w:szCs w:val="21"/>
        </w:rPr>
        <w:t>二，证书、奖励及学术成果</w:t>
      </w:r>
    </w:p>
    <w:p>
      <w:pPr>
        <w:rPr>
          <w:rFonts w:ascii="微软雅黑" w:hAnsi="微软雅黑" w:eastAsia="微软雅黑" w:cs="微软雅黑"/>
          <w:szCs w:val="21"/>
        </w:rPr>
      </w:pPr>
      <w:r>
        <w:rPr>
          <w:rFonts w:hint="eastAsia" w:ascii="微软雅黑" w:hAnsi="微软雅黑" w:eastAsia="微软雅黑" w:cs="微软雅黑"/>
          <w:szCs w:val="21"/>
        </w:rPr>
        <w:t>身份证、硕士学历、硕士学位证书复印件各1份；自愿提供个人所获奖项证书及学术成果等复印件。</w:t>
      </w:r>
    </w:p>
    <w:p>
      <w:pPr>
        <w:numPr>
          <w:ilvl w:val="0"/>
          <w:numId w:val="2"/>
        </w:numPr>
        <w:rPr>
          <w:rFonts w:ascii="微软雅黑" w:hAnsi="微软雅黑" w:eastAsia="微软雅黑" w:cs="微软雅黑"/>
          <w:szCs w:val="21"/>
        </w:rPr>
      </w:pPr>
      <w:r>
        <w:rPr>
          <w:rFonts w:hint="eastAsia" w:ascii="微软雅黑" w:hAnsi="微软雅黑" w:eastAsia="微软雅黑" w:cs="微软雅黑"/>
          <w:szCs w:val="21"/>
        </w:rPr>
        <w:t>附件</w:t>
      </w:r>
    </w:p>
    <w:p>
      <w:pPr>
        <w:numPr>
          <w:ilvl w:val="0"/>
          <w:numId w:val="3"/>
        </w:numPr>
        <w:rPr>
          <w:rFonts w:ascii="微软雅黑" w:hAnsi="微软雅黑" w:eastAsia="微软雅黑" w:cs="微软雅黑"/>
          <w:szCs w:val="21"/>
        </w:rPr>
      </w:pPr>
      <w:r>
        <w:rPr>
          <w:rFonts w:hint="eastAsia" w:ascii="微软雅黑" w:hAnsi="微软雅黑" w:eastAsia="微软雅黑" w:cs="微软雅黑"/>
          <w:szCs w:val="21"/>
        </w:rPr>
        <w:t>四张小二寸照片（请提供半年以内的非红底照片，并用铅笔在背面署名）</w:t>
      </w:r>
    </w:p>
    <w:p>
      <w:pPr>
        <w:numPr>
          <w:ilvl w:val="0"/>
          <w:numId w:val="3"/>
        </w:numPr>
        <w:rPr>
          <w:rFonts w:ascii="微软雅黑" w:hAnsi="微软雅黑" w:eastAsia="微软雅黑" w:cs="微软雅黑"/>
          <w:szCs w:val="21"/>
        </w:rPr>
      </w:pPr>
      <w:r>
        <w:rPr>
          <w:rFonts w:hint="eastAsia" w:ascii="微软雅黑" w:hAnsi="微软雅黑" w:eastAsia="微软雅黑" w:cs="微软雅黑"/>
          <w:szCs w:val="21"/>
        </w:rPr>
        <w:t>单位名片两张</w:t>
      </w:r>
    </w:p>
    <w:p>
      <w:pPr>
        <w:numPr>
          <w:ilvl w:val="0"/>
          <w:numId w:val="3"/>
        </w:numPr>
        <w:rPr>
          <w:rFonts w:ascii="微软雅黑" w:hAnsi="微软雅黑" w:eastAsia="微软雅黑" w:cs="微软雅黑"/>
          <w:szCs w:val="21"/>
        </w:rPr>
      </w:pPr>
      <w:r>
        <w:rPr>
          <w:rFonts w:hint="eastAsia" w:ascii="微软雅黑" w:hAnsi="微软雅黑" w:eastAsia="微软雅黑" w:cs="微软雅黑"/>
          <w:szCs w:val="21"/>
        </w:rPr>
        <w:t>中文简历一份（简历将是面试考官提问的主要参考资料之一，请提供详细简历）。</w:t>
      </w:r>
    </w:p>
    <w:p>
      <w:pPr>
        <w:pStyle w:val="12"/>
      </w:pPr>
    </w:p>
    <w:p>
      <w:pPr>
        <w:pStyle w:val="12"/>
        <w:rPr>
          <w:rFonts w:ascii="微软雅黑" w:hAnsi="微软雅黑" w:eastAsia="微软雅黑" w:cs="微软雅黑"/>
          <w:sz w:val="24"/>
          <w:szCs w:val="24"/>
        </w:rPr>
        <w:sectPr>
          <w:headerReference r:id="rId9" w:type="default"/>
          <w:pgSz w:w="11906" w:h="16838"/>
          <w:pgMar w:top="1213" w:right="1349" w:bottom="1213" w:left="1293" w:header="851" w:footer="992" w:gutter="0"/>
          <w:cols w:space="720" w:num="1"/>
          <w:docGrid w:type="lines" w:linePitch="312" w:charSpace="0"/>
        </w:sectPr>
      </w:pPr>
    </w:p>
    <w:p>
      <w:pPr>
        <w:spacing w:line="460" w:lineRule="exact"/>
        <w:rPr>
          <w:rFonts w:ascii="微软雅黑" w:hAnsi="微软雅黑" w:eastAsia="微软雅黑"/>
          <w:sz w:val="24"/>
          <w:lang w:val="en-GB"/>
        </w:rPr>
      </w:pPr>
      <w:r>
        <w:rPr>
          <w:rFonts w:hint="eastAsia" w:ascii="微软雅黑" w:hAnsi="微软雅黑" w:eastAsia="微软雅黑"/>
          <w:b/>
          <w:sz w:val="24"/>
          <w:lang w:val="en-GB"/>
        </w:rPr>
        <w:t xml:space="preserve"> </w:t>
      </w:r>
      <w:r>
        <w:rPr>
          <w:rFonts w:hint="eastAsia" w:ascii="微软雅黑" w:hAnsi="微软雅黑" w:eastAsia="微软雅黑"/>
          <w:b/>
          <w:sz w:val="28"/>
          <w:szCs w:val="28"/>
          <w:lang w:val="en-GB"/>
        </w:rPr>
        <w:t>报 名 需 知</w:t>
      </w:r>
      <w:r>
        <w:rPr>
          <w:rFonts w:hint="eastAsia" w:ascii="微软雅黑" w:hAnsi="微软雅黑" w:eastAsia="微软雅黑"/>
          <w:sz w:val="24"/>
          <w:lang w:val="en-GB"/>
        </w:rPr>
        <w:t>：</w:t>
      </w:r>
    </w:p>
    <w:p>
      <w:pPr>
        <w:spacing w:line="460" w:lineRule="exact"/>
        <w:rPr>
          <w:rFonts w:ascii="微软雅黑" w:hAnsi="微软雅黑" w:eastAsia="微软雅黑"/>
          <w:szCs w:val="21"/>
        </w:rPr>
      </w:pPr>
      <w:r>
        <w:rPr>
          <w:rFonts w:hint="eastAsia" w:ascii="微软雅黑" w:hAnsi="微软雅黑" w:eastAsia="微软雅黑"/>
          <w:b/>
          <w:kern w:val="0"/>
          <w:sz w:val="24"/>
          <w:szCs w:val="21"/>
          <w:lang w:val="en-GB"/>
        </w:rPr>
        <w:t>（一）关于出勤管理、请假与休学</w:t>
      </w:r>
    </w:p>
    <w:p>
      <w:pPr>
        <w:spacing w:line="460" w:lineRule="exact"/>
        <w:rPr>
          <w:rFonts w:ascii="微软雅黑" w:hAnsi="微软雅黑" w:eastAsia="微软雅黑"/>
          <w:szCs w:val="21"/>
        </w:rPr>
      </w:pPr>
      <w:r>
        <w:rPr>
          <w:rFonts w:hint="eastAsia" w:ascii="微软雅黑" w:hAnsi="微软雅黑" w:eastAsia="微软雅黑"/>
          <w:szCs w:val="21"/>
        </w:rPr>
        <w:t>1</w:t>
      </w:r>
      <w:r>
        <w:rPr>
          <w:rFonts w:hint="eastAsia" w:ascii="微软雅黑" w:hAnsi="微软雅黑" w:eastAsia="微软雅黑"/>
          <w:szCs w:val="21"/>
          <w:lang w:val="en-GB"/>
        </w:rPr>
        <w:t>、</w:t>
      </w:r>
      <w:r>
        <w:rPr>
          <w:rFonts w:hint="eastAsia" w:ascii="微软雅黑" w:hAnsi="微软雅黑" w:eastAsia="微软雅黑"/>
          <w:szCs w:val="21"/>
        </w:rPr>
        <w:t>学员每次上课需到值班老师处签到。学员请假需提交书面或邮件申请。每学期课程出勤率不得低于80%。学员因自身原因缺课，学院不予安排补课。</w:t>
      </w:r>
    </w:p>
    <w:p>
      <w:pPr>
        <w:spacing w:line="460" w:lineRule="exact"/>
        <w:rPr>
          <w:rFonts w:ascii="微软雅黑" w:hAnsi="微软雅黑" w:eastAsia="微软雅黑"/>
          <w:szCs w:val="21"/>
        </w:rPr>
      </w:pPr>
      <w:r>
        <w:rPr>
          <w:rFonts w:hint="eastAsia" w:ascii="微软雅黑" w:hAnsi="微软雅黑" w:eastAsia="微软雅黑"/>
          <w:szCs w:val="21"/>
        </w:rPr>
        <w:t>2</w:t>
      </w:r>
      <w:r>
        <w:rPr>
          <w:rFonts w:hint="eastAsia" w:ascii="微软雅黑" w:hAnsi="微软雅黑" w:eastAsia="微软雅黑"/>
          <w:szCs w:val="21"/>
          <w:lang w:val="en-GB"/>
        </w:rPr>
        <w:t>、</w:t>
      </w:r>
      <w:r>
        <w:rPr>
          <w:rFonts w:hint="eastAsia" w:ascii="微软雅黑" w:hAnsi="微软雅黑" w:eastAsia="微软雅黑"/>
          <w:szCs w:val="21"/>
        </w:rPr>
        <w:t>只有在以下两种情况下接受休学申请(最长一年)：</w:t>
      </w:r>
    </w:p>
    <w:p>
      <w:pPr>
        <w:numPr>
          <w:ilvl w:val="0"/>
          <w:numId w:val="4"/>
        </w:numPr>
        <w:spacing w:line="460" w:lineRule="exact"/>
        <w:rPr>
          <w:rFonts w:ascii="微软雅黑" w:hAnsi="微软雅黑" w:eastAsia="微软雅黑"/>
          <w:szCs w:val="21"/>
        </w:rPr>
      </w:pPr>
      <w:r>
        <w:rPr>
          <w:rFonts w:hint="eastAsia" w:ascii="微软雅黑" w:hAnsi="微软雅黑" w:eastAsia="微软雅黑"/>
          <w:szCs w:val="21"/>
        </w:rPr>
        <w:t>身体疾病或女性生育不能持续上课，需提供二级以上医院出具证明；</w:t>
      </w:r>
    </w:p>
    <w:p>
      <w:pPr>
        <w:numPr>
          <w:ilvl w:val="0"/>
          <w:numId w:val="4"/>
        </w:numPr>
        <w:spacing w:line="460" w:lineRule="exact"/>
        <w:rPr>
          <w:rFonts w:ascii="微软雅黑" w:hAnsi="微软雅黑" w:eastAsia="微软雅黑"/>
          <w:szCs w:val="21"/>
        </w:rPr>
      </w:pPr>
      <w:r>
        <w:rPr>
          <w:rFonts w:hint="eastAsia" w:ascii="微软雅黑" w:hAnsi="微软雅黑" w:eastAsia="微软雅黑"/>
          <w:szCs w:val="21"/>
        </w:rPr>
        <w:t>长期出国，需出具签证及单位证明。</w:t>
      </w:r>
    </w:p>
    <w:p>
      <w:pPr>
        <w:spacing w:line="460" w:lineRule="exact"/>
        <w:rPr>
          <w:rFonts w:ascii="微软雅黑" w:hAnsi="微软雅黑" w:eastAsia="微软雅黑"/>
          <w:b/>
          <w:kern w:val="0"/>
          <w:sz w:val="24"/>
          <w:szCs w:val="21"/>
          <w:lang w:val="en-GB"/>
        </w:rPr>
      </w:pPr>
      <w:r>
        <w:rPr>
          <w:rFonts w:hint="eastAsia" w:ascii="微软雅黑" w:hAnsi="微软雅黑" w:eastAsia="微软雅黑"/>
          <w:b/>
          <w:kern w:val="0"/>
          <w:sz w:val="24"/>
          <w:szCs w:val="21"/>
          <w:lang w:val="en-GB"/>
        </w:rPr>
        <w:t>（</w:t>
      </w:r>
      <w:r>
        <w:rPr>
          <w:rFonts w:hint="eastAsia" w:ascii="微软雅黑" w:hAnsi="微软雅黑" w:eastAsia="微软雅黑"/>
          <w:b/>
          <w:kern w:val="0"/>
          <w:sz w:val="24"/>
          <w:szCs w:val="21"/>
        </w:rPr>
        <w:t>二</w:t>
      </w:r>
      <w:r>
        <w:rPr>
          <w:rFonts w:hint="eastAsia" w:ascii="微软雅黑" w:hAnsi="微软雅黑" w:eastAsia="微软雅黑"/>
          <w:b/>
          <w:kern w:val="0"/>
          <w:sz w:val="24"/>
          <w:szCs w:val="21"/>
          <w:lang w:val="en-GB"/>
        </w:rPr>
        <w:t>）关于学费</w:t>
      </w:r>
      <w:r>
        <w:rPr>
          <w:rFonts w:hint="eastAsia" w:ascii="微软雅黑" w:hAnsi="微软雅黑" w:eastAsia="微软雅黑"/>
          <w:b/>
          <w:kern w:val="0"/>
          <w:sz w:val="24"/>
          <w:szCs w:val="21"/>
        </w:rPr>
        <w:t>与退费</w:t>
      </w:r>
    </w:p>
    <w:p>
      <w:pPr>
        <w:spacing w:line="460" w:lineRule="exact"/>
        <w:rPr>
          <w:rFonts w:ascii="微软雅黑" w:hAnsi="微软雅黑" w:eastAsia="微软雅黑"/>
          <w:szCs w:val="21"/>
          <w:lang w:val="en-GB"/>
        </w:rPr>
      </w:pPr>
      <w:r>
        <w:rPr>
          <w:rFonts w:hint="eastAsia" w:ascii="微软雅黑" w:hAnsi="微软雅黑" w:eastAsia="微软雅黑"/>
          <w:szCs w:val="21"/>
        </w:rPr>
        <w:t>1、学费：</w:t>
      </w:r>
      <w:r>
        <w:rPr>
          <w:rFonts w:hint="eastAsia" w:ascii="微软雅黑" w:hAnsi="微软雅黑" w:eastAsia="微软雅黑"/>
          <w:szCs w:val="21"/>
          <w:lang w:val="en-GB"/>
        </w:rPr>
        <w:t>要求开课前</w:t>
      </w:r>
      <w:r>
        <w:rPr>
          <w:rFonts w:hint="eastAsia" w:ascii="微软雅黑" w:hAnsi="微软雅黑" w:eastAsia="微软雅黑"/>
          <w:szCs w:val="21"/>
        </w:rPr>
        <w:t>按照要求</w:t>
      </w:r>
      <w:r>
        <w:rPr>
          <w:rFonts w:hint="eastAsia" w:ascii="微软雅黑" w:hAnsi="微软雅黑" w:eastAsia="微软雅黑"/>
          <w:szCs w:val="21"/>
          <w:lang w:val="en-GB"/>
        </w:rPr>
        <w:t>一次性缴纳全额学费，</w:t>
      </w:r>
      <w:r>
        <w:rPr>
          <w:rFonts w:hint="eastAsia" w:ascii="微软雅黑" w:hAnsi="微软雅黑" w:eastAsia="微软雅黑"/>
          <w:szCs w:val="21"/>
        </w:rPr>
        <w:t>否则视该生主动放弃继续在我院学习的机会</w:t>
      </w:r>
      <w:r>
        <w:rPr>
          <w:rFonts w:hint="eastAsia" w:ascii="微软雅黑" w:hAnsi="微软雅黑" w:eastAsia="微软雅黑"/>
          <w:szCs w:val="21"/>
          <w:lang w:val="en-GB"/>
        </w:rPr>
        <w:t>。</w:t>
      </w:r>
    </w:p>
    <w:p>
      <w:pPr>
        <w:spacing w:line="460" w:lineRule="exact"/>
        <w:rPr>
          <w:rFonts w:ascii="微软雅黑" w:hAnsi="微软雅黑" w:eastAsia="微软雅黑"/>
          <w:szCs w:val="21"/>
        </w:rPr>
      </w:pPr>
      <w:r>
        <w:rPr>
          <w:rFonts w:hint="eastAsia" w:ascii="微软雅黑" w:hAnsi="微软雅黑" w:eastAsia="微软雅黑"/>
          <w:szCs w:val="21"/>
        </w:rPr>
        <w:t>2、退费：</w:t>
      </w:r>
    </w:p>
    <w:p>
      <w:pPr>
        <w:spacing w:line="460" w:lineRule="exact"/>
        <w:rPr>
          <w:rFonts w:ascii="微软雅黑" w:hAnsi="微软雅黑" w:eastAsia="微软雅黑"/>
          <w:szCs w:val="21"/>
          <w:lang w:val="en-GB"/>
        </w:rPr>
      </w:pPr>
      <w:r>
        <w:rPr>
          <w:rFonts w:hint="eastAsia" w:ascii="微软雅黑" w:hAnsi="微软雅黑" w:eastAsia="微软雅黑"/>
          <w:szCs w:val="21"/>
        </w:rPr>
        <w:t>（1）在</w:t>
      </w:r>
      <w:r>
        <w:rPr>
          <w:rFonts w:hint="eastAsia" w:ascii="微软雅黑" w:hAnsi="微软雅黑" w:eastAsia="微软雅黑"/>
          <w:szCs w:val="21"/>
          <w:lang w:val="en-GB"/>
        </w:rPr>
        <w:t>第一</w:t>
      </w:r>
      <w:r>
        <w:rPr>
          <w:rFonts w:hint="eastAsia" w:ascii="微软雅黑" w:hAnsi="微软雅黑" w:eastAsia="微软雅黑"/>
          <w:szCs w:val="21"/>
        </w:rPr>
        <w:t>学年期间（自首次授课1年内）</w:t>
      </w:r>
      <w:r>
        <w:rPr>
          <w:rFonts w:hint="eastAsia" w:ascii="微软雅黑" w:hAnsi="微软雅黑" w:eastAsia="微软雅黑"/>
          <w:szCs w:val="21"/>
          <w:lang w:val="en-GB"/>
        </w:rPr>
        <w:t>提出退学退费的：学院按</w:t>
      </w:r>
      <w:r>
        <w:rPr>
          <w:rFonts w:hint="eastAsia" w:ascii="微软雅黑" w:hAnsi="微软雅黑" w:eastAsia="微软雅黑"/>
          <w:szCs w:val="21"/>
        </w:rPr>
        <w:t>此期间</w:t>
      </w:r>
      <w:r>
        <w:rPr>
          <w:rFonts w:hint="eastAsia" w:ascii="微软雅黑" w:hAnsi="微软雅黑" w:eastAsia="微软雅黑"/>
          <w:szCs w:val="21"/>
          <w:lang w:val="en-GB"/>
        </w:rPr>
        <w:t>授课</w:t>
      </w:r>
      <w:r>
        <w:rPr>
          <w:rFonts w:hint="eastAsia" w:ascii="微软雅黑" w:hAnsi="微软雅黑" w:eastAsia="微软雅黑"/>
          <w:szCs w:val="21"/>
        </w:rPr>
        <w:t>次数，以20次为总基数计算应退还学费</w:t>
      </w:r>
      <w:r>
        <w:rPr>
          <w:rFonts w:hint="eastAsia" w:ascii="微软雅黑" w:hAnsi="微软雅黑" w:eastAsia="微软雅黑"/>
          <w:szCs w:val="21"/>
          <w:lang w:val="en-GB"/>
        </w:rPr>
        <w:t>；</w:t>
      </w:r>
    </w:p>
    <w:p>
      <w:pPr>
        <w:spacing w:line="460" w:lineRule="exact"/>
        <w:rPr>
          <w:rFonts w:ascii="微软雅黑" w:hAnsi="微软雅黑" w:eastAsia="微软雅黑"/>
          <w:szCs w:val="21"/>
          <w:lang w:val="en-GB"/>
        </w:rPr>
      </w:pPr>
      <w:r>
        <w:rPr>
          <w:rFonts w:hint="eastAsia" w:ascii="微软雅黑" w:hAnsi="微软雅黑" w:eastAsia="微软雅黑"/>
          <w:szCs w:val="21"/>
          <w:lang w:val="en-GB"/>
        </w:rPr>
        <w:t>（2）</w:t>
      </w:r>
      <w:r>
        <w:rPr>
          <w:rFonts w:hint="eastAsia" w:ascii="微软雅黑" w:hAnsi="微软雅黑" w:eastAsia="微软雅黑"/>
          <w:szCs w:val="21"/>
        </w:rPr>
        <w:t>进入</w:t>
      </w:r>
      <w:r>
        <w:rPr>
          <w:rFonts w:hint="eastAsia" w:ascii="微软雅黑" w:hAnsi="微软雅黑" w:eastAsia="微软雅黑"/>
          <w:szCs w:val="21"/>
          <w:lang w:val="en-GB"/>
        </w:rPr>
        <w:t>第二学</w:t>
      </w:r>
      <w:r>
        <w:rPr>
          <w:rFonts w:hint="eastAsia" w:ascii="微软雅黑" w:hAnsi="微软雅黑" w:eastAsia="微软雅黑"/>
          <w:szCs w:val="21"/>
        </w:rPr>
        <w:t>年</w:t>
      </w:r>
      <w:r>
        <w:rPr>
          <w:rFonts w:hint="eastAsia" w:ascii="微软雅黑" w:hAnsi="微软雅黑" w:eastAsia="微软雅黑"/>
          <w:szCs w:val="21"/>
          <w:lang w:val="en-GB"/>
        </w:rPr>
        <w:t>（</w:t>
      </w:r>
      <w:r>
        <w:rPr>
          <w:rFonts w:hint="eastAsia" w:ascii="微软雅黑" w:hAnsi="微软雅黑" w:eastAsia="微软雅黑"/>
          <w:szCs w:val="21"/>
        </w:rPr>
        <w:t>自首次授课1年后或在选择结业论文导师后</w:t>
      </w:r>
      <w:r>
        <w:rPr>
          <w:rFonts w:hint="eastAsia" w:ascii="微软雅黑" w:hAnsi="微软雅黑" w:eastAsia="微软雅黑"/>
          <w:szCs w:val="21"/>
          <w:lang w:val="en-GB"/>
        </w:rPr>
        <w:t>）申请退费的，学院不再退还任何学费。</w:t>
      </w:r>
    </w:p>
    <w:p>
      <w:pPr>
        <w:numPr>
          <w:ilvl w:val="0"/>
          <w:numId w:val="5"/>
        </w:numPr>
        <w:spacing w:line="460" w:lineRule="exact"/>
        <w:rPr>
          <w:rFonts w:ascii="微软雅黑" w:hAnsi="微软雅黑" w:eastAsia="微软雅黑"/>
          <w:b/>
          <w:kern w:val="0"/>
          <w:sz w:val="24"/>
          <w:szCs w:val="21"/>
          <w:lang w:val="en-GB"/>
        </w:rPr>
      </w:pPr>
      <w:r>
        <w:rPr>
          <w:rFonts w:hint="eastAsia" w:ascii="微软雅黑" w:hAnsi="微软雅黑" w:eastAsia="微软雅黑"/>
          <w:b/>
          <w:kern w:val="0"/>
          <w:sz w:val="24"/>
          <w:szCs w:val="21"/>
          <w:lang w:val="en-GB"/>
        </w:rPr>
        <w:t>关于结业证书</w:t>
      </w:r>
    </w:p>
    <w:p>
      <w:pPr>
        <w:spacing w:line="460" w:lineRule="exact"/>
        <w:rPr>
          <w:rFonts w:ascii="微软雅黑" w:hAnsi="微软雅黑" w:eastAsia="微软雅黑"/>
          <w:szCs w:val="21"/>
          <w:lang w:val="en-GB"/>
        </w:rPr>
      </w:pPr>
      <w:r>
        <w:rPr>
          <w:rFonts w:hint="eastAsia" w:ascii="微软雅黑" w:hAnsi="微软雅黑" w:eastAsia="微软雅黑"/>
          <w:szCs w:val="21"/>
          <w:lang w:val="en-GB"/>
        </w:rPr>
        <w:t>课程学习为两年，修</w:t>
      </w:r>
      <w:r>
        <w:rPr>
          <w:rFonts w:hint="eastAsia" w:ascii="微软雅黑" w:hAnsi="微软雅黑" w:eastAsia="微软雅黑"/>
          <w:szCs w:val="21"/>
        </w:rPr>
        <w:t>完全部</w:t>
      </w:r>
      <w:r>
        <w:rPr>
          <w:rFonts w:hint="eastAsia" w:ascii="微软雅黑" w:hAnsi="微软雅黑" w:eastAsia="微软雅黑"/>
          <w:szCs w:val="21"/>
          <w:lang w:val="en-GB"/>
        </w:rPr>
        <w:t>课程</w:t>
      </w:r>
      <w:r>
        <w:rPr>
          <w:rFonts w:hint="eastAsia" w:ascii="微软雅黑" w:hAnsi="微软雅黑" w:eastAsia="微软雅黑"/>
          <w:szCs w:val="21"/>
        </w:rPr>
        <w:t>并且考核与</w:t>
      </w:r>
      <w:r>
        <w:rPr>
          <w:rFonts w:hint="eastAsia" w:ascii="微软雅黑" w:hAnsi="微软雅黑" w:eastAsia="微软雅黑"/>
          <w:szCs w:val="21"/>
          <w:lang w:val="en-GB"/>
        </w:rPr>
        <w:t>考勤均符合要求，</w:t>
      </w:r>
      <w:r>
        <w:rPr>
          <w:rFonts w:hint="eastAsia" w:ascii="微软雅黑" w:hAnsi="微软雅黑" w:eastAsia="微软雅黑"/>
          <w:szCs w:val="21"/>
        </w:rPr>
        <w:t>通过结业论文审核者，</w:t>
      </w:r>
      <w:r>
        <w:rPr>
          <w:rFonts w:hint="eastAsia" w:ascii="微软雅黑" w:hAnsi="微软雅黑" w:eastAsia="微软雅黑"/>
          <w:szCs w:val="21"/>
          <w:lang w:val="en-GB"/>
        </w:rPr>
        <w:t>可获得由中国社会科学院研究生院颁发盖有红印和钢印的“中国社会科学院研究生院高级课程班结业证书”。</w:t>
      </w:r>
    </w:p>
    <w:p>
      <w:pPr>
        <w:spacing w:line="460" w:lineRule="exact"/>
        <w:rPr>
          <w:rFonts w:ascii="微软雅黑" w:hAnsi="微软雅黑" w:eastAsia="微软雅黑"/>
          <w:szCs w:val="21"/>
          <w:lang w:val="en-GB"/>
        </w:rPr>
      </w:pPr>
      <w:r>
        <w:rPr>
          <w:rFonts w:hint="eastAsia" w:ascii="微软雅黑" w:hAnsi="微软雅黑" w:eastAsia="微软雅黑"/>
          <w:b/>
          <w:kern w:val="0"/>
          <w:sz w:val="24"/>
          <w:szCs w:val="21"/>
          <w:lang w:val="en-GB"/>
        </w:rPr>
        <w:t>（</w:t>
      </w:r>
      <w:r>
        <w:rPr>
          <w:rFonts w:hint="eastAsia" w:ascii="微软雅黑" w:hAnsi="微软雅黑" w:eastAsia="微软雅黑"/>
          <w:b/>
          <w:kern w:val="0"/>
          <w:sz w:val="24"/>
          <w:szCs w:val="21"/>
        </w:rPr>
        <w:t>四</w:t>
      </w:r>
      <w:r>
        <w:rPr>
          <w:rFonts w:hint="eastAsia" w:ascii="微软雅黑" w:hAnsi="微软雅黑" w:eastAsia="微软雅黑"/>
          <w:b/>
          <w:kern w:val="0"/>
          <w:sz w:val="24"/>
          <w:szCs w:val="21"/>
          <w:lang w:val="en-GB"/>
        </w:rPr>
        <w:t>）</w:t>
      </w:r>
      <w:r>
        <w:rPr>
          <w:rFonts w:hint="eastAsia" w:ascii="微软雅黑" w:hAnsi="微软雅黑" w:eastAsia="微软雅黑"/>
          <w:b/>
          <w:kern w:val="0"/>
          <w:sz w:val="24"/>
          <w:szCs w:val="21"/>
        </w:rPr>
        <w:t>关于</w:t>
      </w:r>
      <w:r>
        <w:rPr>
          <w:rFonts w:hint="eastAsia" w:ascii="微软雅黑" w:hAnsi="微软雅黑" w:eastAsia="微软雅黑"/>
          <w:b/>
          <w:kern w:val="0"/>
          <w:sz w:val="24"/>
          <w:szCs w:val="21"/>
          <w:lang w:val="en-GB"/>
        </w:rPr>
        <w:t>中国社科院研究生院同等学力申请博士学位</w:t>
      </w:r>
      <w:r>
        <w:rPr>
          <w:rFonts w:hint="eastAsia" w:ascii="微软雅黑" w:hAnsi="微软雅黑" w:eastAsia="微软雅黑"/>
          <w:b/>
          <w:kern w:val="0"/>
          <w:sz w:val="24"/>
          <w:szCs w:val="21"/>
        </w:rPr>
        <w:t>的申请</w:t>
      </w:r>
      <w:r>
        <w:rPr>
          <w:rFonts w:hint="eastAsia" w:ascii="微软雅黑" w:hAnsi="微软雅黑" w:eastAsia="微软雅黑"/>
          <w:b/>
          <w:kern w:val="0"/>
          <w:sz w:val="24"/>
          <w:szCs w:val="21"/>
          <w:lang w:val="en-GB"/>
        </w:rPr>
        <w:t>条件</w:t>
      </w:r>
    </w:p>
    <w:p>
      <w:pPr>
        <w:spacing w:line="460" w:lineRule="exact"/>
        <w:rPr>
          <w:rFonts w:ascii="微软雅黑" w:hAnsi="微软雅黑" w:eastAsia="微软雅黑"/>
          <w:szCs w:val="21"/>
          <w:lang w:val="en-GB"/>
        </w:rPr>
      </w:pPr>
      <w:r>
        <w:rPr>
          <w:rFonts w:hint="eastAsia" w:ascii="微软雅黑" w:hAnsi="微软雅黑" w:eastAsia="微软雅黑"/>
          <w:szCs w:val="21"/>
        </w:rPr>
        <w:t xml:space="preserve"> </w:t>
      </w:r>
      <w:r>
        <w:rPr>
          <w:rFonts w:hint="eastAsia" w:ascii="微软雅黑" w:hAnsi="微软雅黑" w:eastAsia="微软雅黑"/>
          <w:szCs w:val="21"/>
          <w:lang w:val="en-GB"/>
        </w:rPr>
        <w:t>1、申请人在获</w:t>
      </w:r>
      <w:r>
        <w:rPr>
          <w:rFonts w:ascii="微软雅黑" w:hAnsi="微软雅黑" w:eastAsia="微软雅黑"/>
          <w:szCs w:val="21"/>
          <w:lang w:val="en-GB"/>
        </w:rPr>
        <w:t>得硕士学位</w:t>
      </w:r>
      <w:r>
        <w:rPr>
          <w:rFonts w:hint="eastAsia" w:ascii="微软雅黑" w:hAnsi="微软雅黑" w:eastAsia="微软雅黑"/>
          <w:szCs w:val="21"/>
          <w:lang w:val="en-GB"/>
        </w:rPr>
        <w:t>后在本专业或相近专业工作5</w:t>
      </w:r>
      <w:r>
        <w:rPr>
          <w:rFonts w:ascii="微软雅黑" w:hAnsi="微软雅黑" w:eastAsia="微软雅黑"/>
          <w:szCs w:val="21"/>
          <w:lang w:val="en-GB"/>
        </w:rPr>
        <w:t>年以上</w:t>
      </w:r>
      <w:r>
        <w:rPr>
          <w:rFonts w:hint="eastAsia" w:ascii="微软雅黑" w:hAnsi="微软雅黑" w:eastAsia="微软雅黑"/>
          <w:szCs w:val="21"/>
          <w:lang w:val="en-GB"/>
        </w:rPr>
        <w:t>。</w:t>
      </w:r>
    </w:p>
    <w:p>
      <w:pPr>
        <w:spacing w:line="460" w:lineRule="exact"/>
        <w:rPr>
          <w:rFonts w:ascii="微软雅黑" w:hAnsi="微软雅黑" w:eastAsia="微软雅黑"/>
          <w:szCs w:val="21"/>
          <w:lang w:val="en-GB"/>
        </w:rPr>
      </w:pPr>
      <w:r>
        <w:rPr>
          <w:rFonts w:hint="eastAsia" w:ascii="微软雅黑" w:hAnsi="微软雅黑" w:eastAsia="微软雅黑"/>
          <w:szCs w:val="21"/>
          <w:lang w:val="en-GB"/>
        </w:rPr>
        <w:t xml:space="preserve"> 2、申请人所申请博士学位的专业应与已获硕士学位的专业在同一个一级学科内，否则为跨学科申请。</w:t>
      </w:r>
    </w:p>
    <w:p>
      <w:pPr>
        <w:spacing w:line="460" w:lineRule="exact"/>
        <w:rPr>
          <w:rFonts w:ascii="微软雅黑" w:hAnsi="微软雅黑" w:eastAsia="微软雅黑"/>
          <w:szCs w:val="21"/>
          <w:lang w:val="en-GB"/>
        </w:rPr>
      </w:pPr>
      <w:r>
        <w:rPr>
          <w:rFonts w:hint="eastAsia" w:ascii="微软雅黑" w:hAnsi="微软雅黑" w:eastAsia="微软雅黑"/>
          <w:szCs w:val="21"/>
          <w:lang w:val="en-GB"/>
        </w:rPr>
        <w:t xml:space="preserve"> 3、凡属跨学科申请的或以专业学位硕士、同等学力硕士申请的，须在提出申请的前1年与学位办联系，加试所申请专业的硕士研究生的3门专业基础课。</w:t>
      </w:r>
    </w:p>
    <w:p>
      <w:pPr>
        <w:spacing w:line="460" w:lineRule="exact"/>
        <w:rPr>
          <w:rFonts w:ascii="微软雅黑" w:hAnsi="微软雅黑" w:eastAsia="微软雅黑"/>
          <w:szCs w:val="21"/>
          <w:lang w:val="en-GB"/>
        </w:rPr>
      </w:pPr>
      <w:r>
        <w:rPr>
          <w:rFonts w:hint="eastAsia" w:ascii="微软雅黑" w:hAnsi="微软雅黑" w:eastAsia="微软雅黑"/>
          <w:szCs w:val="21"/>
          <w:lang w:val="en-GB"/>
        </w:rPr>
        <w:t xml:space="preserve"> 4、</w:t>
      </w:r>
      <w:r>
        <w:rPr>
          <w:rFonts w:ascii="微软雅黑" w:hAnsi="微软雅黑" w:eastAsia="微软雅黑"/>
          <w:szCs w:val="21"/>
          <w:lang w:val="en-GB"/>
        </w:rPr>
        <w:t>申请人应在教</w:t>
      </w:r>
      <w:r>
        <w:rPr>
          <w:rFonts w:hint="eastAsia" w:ascii="微软雅黑" w:hAnsi="微软雅黑" w:eastAsia="微软雅黑"/>
          <w:szCs w:val="21"/>
          <w:lang w:val="en-GB"/>
        </w:rPr>
        <w:t>学、</w:t>
      </w:r>
      <w:r>
        <w:rPr>
          <w:rFonts w:ascii="微软雅黑" w:hAnsi="微软雅黑" w:eastAsia="微软雅黑"/>
          <w:szCs w:val="21"/>
          <w:lang w:val="en-GB"/>
        </w:rPr>
        <w:t>科研等领域做出突出成绩，近年来在</w:t>
      </w:r>
      <w:r>
        <w:rPr>
          <w:rFonts w:hint="eastAsia" w:ascii="微软雅黑" w:hAnsi="微软雅黑" w:eastAsia="微软雅黑"/>
          <w:szCs w:val="21"/>
          <w:lang w:val="en-GB"/>
        </w:rPr>
        <w:t>申请学位的学科领域内，以第一作者在国内核心</w:t>
      </w:r>
      <w:r>
        <w:rPr>
          <w:rFonts w:ascii="微软雅黑" w:hAnsi="微软雅黑" w:eastAsia="微软雅黑"/>
          <w:szCs w:val="21"/>
          <w:lang w:val="en-GB"/>
        </w:rPr>
        <w:t>刊物上发表</w:t>
      </w:r>
      <w:r>
        <w:rPr>
          <w:rFonts w:hint="eastAsia" w:ascii="微软雅黑" w:hAnsi="微软雅黑" w:eastAsia="微软雅黑"/>
          <w:szCs w:val="21"/>
          <w:lang w:val="en-GB"/>
        </w:rPr>
        <w:t>5</w:t>
      </w:r>
      <w:r>
        <w:rPr>
          <w:rFonts w:ascii="微软雅黑" w:hAnsi="微软雅黑" w:eastAsia="微软雅黑"/>
          <w:szCs w:val="21"/>
          <w:lang w:val="en-GB"/>
        </w:rPr>
        <w:t>篇以上</w:t>
      </w:r>
      <w:r>
        <w:rPr>
          <w:rFonts w:hint="eastAsia" w:ascii="微软雅黑" w:hAnsi="微软雅黑" w:eastAsia="微软雅黑"/>
          <w:szCs w:val="21"/>
          <w:lang w:val="en-GB"/>
        </w:rPr>
        <w:t>高水平</w:t>
      </w:r>
      <w:r>
        <w:rPr>
          <w:rFonts w:ascii="微软雅黑" w:hAnsi="微软雅黑" w:eastAsia="微软雅黑"/>
          <w:szCs w:val="21"/>
          <w:lang w:val="en-GB"/>
        </w:rPr>
        <w:t>学术论文</w:t>
      </w:r>
      <w:r>
        <w:rPr>
          <w:rFonts w:hint="eastAsia" w:ascii="微软雅黑" w:hAnsi="微软雅黑" w:eastAsia="微软雅黑"/>
          <w:szCs w:val="21"/>
          <w:lang w:val="en-GB"/>
        </w:rPr>
        <w:t>（每篇不少于5000字）或发表3</w:t>
      </w:r>
      <w:r>
        <w:rPr>
          <w:rFonts w:ascii="微软雅黑" w:hAnsi="微软雅黑" w:eastAsia="微软雅黑"/>
          <w:szCs w:val="21"/>
          <w:lang w:val="en-GB"/>
        </w:rPr>
        <w:t>篇以上</w:t>
      </w:r>
      <w:r>
        <w:rPr>
          <w:rFonts w:hint="eastAsia" w:ascii="微软雅黑" w:hAnsi="微软雅黑" w:eastAsia="微软雅黑"/>
          <w:szCs w:val="21"/>
          <w:lang w:val="en-GB"/>
        </w:rPr>
        <w:t>高水平</w:t>
      </w:r>
      <w:r>
        <w:rPr>
          <w:rFonts w:ascii="微软雅黑" w:hAnsi="微软雅黑" w:eastAsia="微软雅黑"/>
          <w:szCs w:val="21"/>
          <w:lang w:val="en-GB"/>
        </w:rPr>
        <w:t>学术论文</w:t>
      </w:r>
      <w:r>
        <w:rPr>
          <w:rFonts w:hint="eastAsia" w:ascii="微软雅黑" w:hAnsi="微软雅黑" w:eastAsia="微软雅黑"/>
          <w:szCs w:val="21"/>
          <w:lang w:val="en-GB"/>
        </w:rPr>
        <w:t>（每篇不少于5000字）并且</w:t>
      </w:r>
      <w:r>
        <w:rPr>
          <w:rFonts w:ascii="微软雅黑" w:hAnsi="微软雅黑" w:eastAsia="微软雅黑"/>
          <w:szCs w:val="21"/>
          <w:lang w:val="en-GB"/>
        </w:rPr>
        <w:t>独立出版</w:t>
      </w:r>
      <w:r>
        <w:rPr>
          <w:rFonts w:hint="eastAsia" w:ascii="微软雅黑" w:hAnsi="微软雅黑" w:eastAsia="微软雅黑"/>
          <w:szCs w:val="21"/>
          <w:lang w:val="en-GB"/>
        </w:rPr>
        <w:t>1</w:t>
      </w:r>
      <w:r>
        <w:rPr>
          <w:rFonts w:ascii="微软雅黑" w:hAnsi="微软雅黑" w:eastAsia="微软雅黑"/>
          <w:szCs w:val="21"/>
          <w:lang w:val="en-GB"/>
        </w:rPr>
        <w:t>本学术专著</w:t>
      </w:r>
      <w:r>
        <w:rPr>
          <w:rFonts w:hint="eastAsia" w:ascii="微软雅黑" w:hAnsi="微软雅黑" w:eastAsia="微软雅黑"/>
          <w:szCs w:val="21"/>
          <w:lang w:val="en-GB"/>
        </w:rPr>
        <w:t>；</w:t>
      </w:r>
      <w:r>
        <w:rPr>
          <w:rFonts w:ascii="微软雅黑" w:hAnsi="微软雅黑" w:eastAsia="微软雅黑"/>
          <w:szCs w:val="21"/>
          <w:lang w:val="en-GB"/>
        </w:rPr>
        <w:t>科研成果</w:t>
      </w:r>
      <w:r>
        <w:rPr>
          <w:rFonts w:hint="eastAsia" w:ascii="微软雅黑" w:hAnsi="微软雅黑" w:eastAsia="微软雅黑"/>
          <w:szCs w:val="21"/>
          <w:lang w:val="en-GB"/>
        </w:rPr>
        <w:t>（有本人署名）至少有1项</w:t>
      </w:r>
      <w:r>
        <w:rPr>
          <w:rFonts w:ascii="微软雅黑" w:hAnsi="微软雅黑" w:eastAsia="微软雅黑"/>
          <w:szCs w:val="21"/>
          <w:lang w:val="en-GB"/>
        </w:rPr>
        <w:t>获得</w:t>
      </w:r>
      <w:r>
        <w:rPr>
          <w:rFonts w:hint="eastAsia" w:ascii="微软雅黑" w:hAnsi="微软雅黑" w:eastAsia="微软雅黑"/>
          <w:szCs w:val="21"/>
          <w:lang w:val="en-GB"/>
        </w:rPr>
        <w:t>国家级或</w:t>
      </w:r>
      <w:r>
        <w:rPr>
          <w:rFonts w:ascii="微软雅黑" w:hAnsi="微软雅黑" w:eastAsia="微软雅黑"/>
          <w:szCs w:val="21"/>
          <w:lang w:val="en-GB"/>
        </w:rPr>
        <w:t>省部级以上</w:t>
      </w:r>
      <w:r>
        <w:rPr>
          <w:rFonts w:hint="eastAsia" w:ascii="微软雅黑" w:hAnsi="微软雅黑" w:eastAsia="微软雅黑"/>
          <w:szCs w:val="21"/>
          <w:lang w:val="en-GB"/>
        </w:rPr>
        <w:t>优秀成果</w:t>
      </w:r>
      <w:r>
        <w:rPr>
          <w:rFonts w:ascii="微软雅黑" w:hAnsi="微软雅黑" w:eastAsia="微软雅黑"/>
          <w:szCs w:val="21"/>
          <w:lang w:val="en-GB"/>
        </w:rPr>
        <w:t>奖。</w:t>
      </w:r>
    </w:p>
    <w:p>
      <w:pPr>
        <w:spacing w:line="460" w:lineRule="exact"/>
        <w:rPr>
          <w:rFonts w:ascii="微软雅黑" w:hAnsi="微软雅黑" w:eastAsia="微软雅黑"/>
          <w:szCs w:val="21"/>
          <w:lang w:val="en-GB"/>
        </w:rPr>
      </w:pPr>
      <w:r>
        <w:rPr>
          <w:rFonts w:hint="eastAsia" w:ascii="微软雅黑" w:hAnsi="微软雅黑" w:eastAsia="微软雅黑"/>
          <w:szCs w:val="21"/>
          <w:lang w:val="en-GB"/>
        </w:rPr>
        <w:t xml:space="preserve"> 5、已完成博士学位论文的初稿，达到</w:t>
      </w:r>
      <w:r>
        <w:rPr>
          <w:rFonts w:hint="eastAsia" w:ascii="微软雅黑" w:hAnsi="微软雅黑" w:eastAsia="微软雅黑"/>
          <w:szCs w:val="21"/>
        </w:rPr>
        <w:t>研究生院与</w:t>
      </w:r>
      <w:r>
        <w:rPr>
          <w:rFonts w:hint="eastAsia" w:ascii="微软雅黑" w:hAnsi="微软雅黑" w:eastAsia="微软雅黑"/>
          <w:szCs w:val="21"/>
          <w:lang w:val="en-GB"/>
        </w:rPr>
        <w:t>申请系规定的其他条件。</w:t>
      </w:r>
    </w:p>
    <w:p>
      <w:pPr>
        <w:spacing w:line="460" w:lineRule="exact"/>
        <w:rPr>
          <w:rFonts w:ascii="微软雅黑" w:hAnsi="微软雅黑" w:eastAsia="微软雅黑"/>
          <w:b/>
          <w:kern w:val="0"/>
          <w:sz w:val="24"/>
          <w:szCs w:val="21"/>
          <w:lang w:val="en-GB"/>
        </w:rPr>
      </w:pPr>
      <w:r>
        <w:rPr>
          <w:rFonts w:hint="eastAsia" w:ascii="微软雅黑" w:hAnsi="微软雅黑" w:eastAsia="微软雅黑"/>
          <w:b/>
          <w:kern w:val="0"/>
          <w:sz w:val="24"/>
          <w:szCs w:val="21"/>
          <w:lang w:val="en-GB"/>
        </w:rPr>
        <w:t>（</w:t>
      </w:r>
      <w:r>
        <w:rPr>
          <w:rFonts w:hint="eastAsia" w:ascii="微软雅黑" w:hAnsi="微软雅黑" w:eastAsia="微软雅黑"/>
          <w:b/>
          <w:kern w:val="0"/>
          <w:sz w:val="24"/>
          <w:szCs w:val="21"/>
        </w:rPr>
        <w:t>五</w:t>
      </w:r>
      <w:r>
        <w:rPr>
          <w:rFonts w:hint="eastAsia" w:ascii="微软雅黑" w:hAnsi="微软雅黑" w:eastAsia="微软雅黑"/>
          <w:b/>
          <w:kern w:val="0"/>
          <w:sz w:val="24"/>
          <w:szCs w:val="21"/>
          <w:lang w:val="en-GB"/>
        </w:rPr>
        <w:t>）其</w:t>
      </w:r>
      <w:r>
        <w:rPr>
          <w:rFonts w:hint="eastAsia" w:ascii="微软雅黑" w:hAnsi="微软雅黑" w:eastAsia="微软雅黑"/>
          <w:b/>
          <w:kern w:val="0"/>
          <w:sz w:val="24"/>
          <w:szCs w:val="21"/>
        </w:rPr>
        <w:t>它</w:t>
      </w:r>
      <w:r>
        <w:rPr>
          <w:rFonts w:hint="eastAsia" w:ascii="微软雅黑" w:hAnsi="微软雅黑" w:eastAsia="微软雅黑"/>
          <w:b/>
          <w:kern w:val="0"/>
          <w:sz w:val="24"/>
          <w:szCs w:val="21"/>
          <w:lang w:val="en-GB"/>
        </w:rPr>
        <w:t>未尽事宜</w:t>
      </w:r>
      <w:r>
        <w:rPr>
          <w:rFonts w:hint="eastAsia" w:ascii="微软雅黑" w:hAnsi="微软雅黑" w:eastAsia="微软雅黑"/>
          <w:b/>
          <w:kern w:val="0"/>
          <w:sz w:val="24"/>
          <w:szCs w:val="21"/>
        </w:rPr>
        <w:t>及政策调整</w:t>
      </w:r>
      <w:r>
        <w:rPr>
          <w:rFonts w:hint="eastAsia" w:ascii="微软雅黑" w:hAnsi="微软雅黑" w:eastAsia="微软雅黑"/>
          <w:b/>
          <w:kern w:val="0"/>
          <w:sz w:val="24"/>
          <w:szCs w:val="21"/>
          <w:lang w:val="en-GB"/>
        </w:rPr>
        <w:t>，严格按照中国</w:t>
      </w:r>
      <w:r>
        <w:rPr>
          <w:rFonts w:hint="eastAsia" w:ascii="微软雅黑" w:hAnsi="微软雅黑" w:eastAsia="微软雅黑"/>
          <w:b/>
          <w:kern w:val="0"/>
          <w:sz w:val="24"/>
          <w:szCs w:val="21"/>
        </w:rPr>
        <w:t>社会科学院及</w:t>
      </w:r>
      <w:r>
        <w:rPr>
          <w:rFonts w:hint="eastAsia" w:ascii="微软雅黑" w:hAnsi="微软雅黑" w:eastAsia="微软雅黑"/>
          <w:b/>
          <w:kern w:val="0"/>
          <w:sz w:val="24"/>
          <w:szCs w:val="21"/>
          <w:lang w:val="en-GB"/>
        </w:rPr>
        <w:t>研究生院相关制度执行。</w:t>
      </w:r>
    </w:p>
    <w:p>
      <w:pPr>
        <w:pStyle w:val="12"/>
        <w:rPr>
          <w:rFonts w:ascii="微软雅黑" w:hAnsi="微软雅黑" w:eastAsia="微软雅黑" w:cs="微软雅黑"/>
          <w:b/>
          <w:sz w:val="30"/>
          <w:szCs w:val="30"/>
        </w:rPr>
      </w:pPr>
      <w:r>
        <w:rPr>
          <w:rFonts w:hint="eastAsia" w:ascii="微软雅黑" w:hAnsi="微软雅黑" w:eastAsia="微软雅黑" w:cs="微软雅黑"/>
          <w:b/>
          <w:sz w:val="30"/>
          <w:szCs w:val="30"/>
        </w:rPr>
        <w:t xml:space="preserve">               </w:t>
      </w:r>
    </w:p>
    <w:p>
      <w:pPr>
        <w:pStyle w:val="12"/>
        <w:ind w:firstLine="1951" w:firstLineChars="650"/>
        <w:rPr>
          <w:rFonts w:ascii="微软雅黑" w:hAnsi="微软雅黑" w:eastAsia="微软雅黑" w:cs="微软雅黑"/>
          <w:b/>
          <w:sz w:val="30"/>
          <w:szCs w:val="30"/>
        </w:rPr>
      </w:pPr>
      <w:r>
        <w:rPr>
          <w:rFonts w:hint="eastAsia" w:ascii="微软雅黑" w:hAnsi="微软雅黑" w:eastAsia="微软雅黑" w:cs="微软雅黑"/>
          <w:b/>
          <w:sz w:val="30"/>
          <w:szCs w:val="30"/>
        </w:rPr>
        <w:t xml:space="preserve"> 学员确认签名：</w:t>
      </w:r>
      <w:r>
        <w:rPr>
          <w:rFonts w:ascii="Arial" w:hAnsi="Arial" w:eastAsia="微软雅黑" w:cs="Arial"/>
          <w:b/>
          <w:sz w:val="30"/>
          <w:szCs w:val="30"/>
        </w:rPr>
        <w:t>________</w:t>
      </w:r>
      <w:r>
        <w:rPr>
          <w:rFonts w:hint="eastAsia" w:ascii="Arial" w:hAnsi="Arial" w:eastAsia="微软雅黑" w:cs="Arial"/>
          <w:b/>
          <w:sz w:val="30"/>
          <w:szCs w:val="30"/>
        </w:rPr>
        <w:t xml:space="preserve">   时间：</w:t>
      </w:r>
      <w:r>
        <w:rPr>
          <w:rFonts w:ascii="Arial" w:hAnsi="Arial" w:eastAsia="微软雅黑" w:cs="Arial"/>
          <w:b/>
          <w:sz w:val="30"/>
          <w:szCs w:val="30"/>
        </w:rPr>
        <w:t>________</w:t>
      </w:r>
    </w:p>
    <w:p>
      <w:pPr>
        <w:rPr>
          <w:rFonts w:ascii="微软雅黑" w:hAnsi="微软雅黑" w:eastAsia="微软雅黑"/>
          <w:b/>
          <w:bCs/>
          <w:sz w:val="28"/>
          <w:szCs w:val="28"/>
          <w:shd w:val="pct10" w:color="auto" w:fill="FFFFFF"/>
        </w:rPr>
      </w:pPr>
      <w:r>
        <w:rPr>
          <w:rFonts w:hint="eastAsia" w:ascii="微软雅黑" w:hAnsi="微软雅黑" w:eastAsia="微软雅黑"/>
          <w:b/>
          <w:bCs/>
          <w:sz w:val="28"/>
          <w:szCs w:val="28"/>
          <w:shd w:val="pct10" w:color="auto" w:fill="FFFFFF"/>
        </w:rPr>
        <w:t xml:space="preserve">个人信息 </w:t>
      </w:r>
    </w:p>
    <w:p>
      <w:pPr>
        <w:spacing w:line="460" w:lineRule="exact"/>
        <w:rPr>
          <w:rFonts w:ascii="微软雅黑" w:hAnsi="微软雅黑" w:eastAsia="微软雅黑"/>
          <w:sz w:val="24"/>
        </w:rPr>
      </w:pPr>
      <w:r>
        <w:rPr>
          <w:rFonts w:hint="eastAsia" w:ascii="微软雅黑" w:hAnsi="微软雅黑" w:eastAsia="微软雅黑"/>
          <w:sz w:val="24"/>
        </w:rPr>
        <w:t xml:space="preserve">姓    名 </w:t>
      </w:r>
      <w:r>
        <w:rPr>
          <w:rFonts w:hint="eastAsia" w:ascii="微软雅黑" w:hAnsi="微软雅黑" w:eastAsia="微软雅黑"/>
          <w:sz w:val="24"/>
          <w:u w:val="single"/>
        </w:rPr>
        <w:t xml:space="preserve">          </w:t>
      </w:r>
      <w:r>
        <w:rPr>
          <w:rFonts w:hint="eastAsia" w:ascii="微软雅黑" w:hAnsi="微软雅黑" w:eastAsia="微软雅黑"/>
          <w:sz w:val="24"/>
        </w:rPr>
        <w:t xml:space="preserve"> 拼音 </w:t>
      </w:r>
      <w:r>
        <w:rPr>
          <w:rFonts w:hint="eastAsia" w:ascii="微软雅黑" w:hAnsi="微软雅黑" w:eastAsia="微软雅黑"/>
          <w:sz w:val="24"/>
          <w:u w:val="single"/>
        </w:rPr>
        <w:t xml:space="preserve">       </w:t>
      </w:r>
      <w:r>
        <w:rPr>
          <w:rFonts w:hint="eastAsia" w:ascii="微软雅黑" w:hAnsi="微软雅黑" w:eastAsia="微软雅黑"/>
          <w:sz w:val="24"/>
        </w:rPr>
        <w:t xml:space="preserve">      性别 □ 男   □ 女 </w:t>
      </w:r>
    </w:p>
    <w:p>
      <w:pPr>
        <w:spacing w:line="460" w:lineRule="exact"/>
        <w:rPr>
          <w:rFonts w:ascii="微软雅黑" w:hAnsi="微软雅黑" w:eastAsia="微软雅黑"/>
          <w:sz w:val="24"/>
          <w:u w:val="single"/>
        </w:rPr>
      </w:pPr>
      <w:r>
        <w:rPr>
          <w:rFonts w:hint="eastAsia" w:ascii="微软雅黑" w:hAnsi="微软雅黑" w:eastAsia="微软雅黑"/>
          <w:sz w:val="24"/>
        </w:rPr>
        <w:t xml:space="preserve">出生日期 </w:t>
      </w:r>
      <w:r>
        <w:rPr>
          <w:rFonts w:hint="eastAsia" w:ascii="微软雅黑" w:hAnsi="微软雅黑" w:eastAsia="微软雅黑"/>
          <w:sz w:val="24"/>
          <w:u w:val="single"/>
        </w:rPr>
        <w:t xml:space="preserve">        </w:t>
      </w:r>
      <w:r>
        <w:rPr>
          <w:rFonts w:hint="eastAsia" w:ascii="微软雅黑" w:hAnsi="微软雅黑" w:eastAsia="微软雅黑"/>
          <w:sz w:val="24"/>
        </w:rPr>
        <w:t xml:space="preserve">年 </w:t>
      </w:r>
      <w:r>
        <w:rPr>
          <w:rFonts w:hint="eastAsia" w:ascii="微软雅黑" w:hAnsi="微软雅黑" w:eastAsia="微软雅黑"/>
          <w:sz w:val="24"/>
          <w:u w:val="single"/>
        </w:rPr>
        <w:t xml:space="preserve">     </w:t>
      </w:r>
      <w:r>
        <w:rPr>
          <w:rFonts w:hint="eastAsia" w:ascii="微软雅黑" w:hAnsi="微软雅黑" w:eastAsia="微软雅黑"/>
          <w:sz w:val="24"/>
        </w:rPr>
        <w:t xml:space="preserve">月 </w:t>
      </w:r>
      <w:r>
        <w:rPr>
          <w:rFonts w:hint="eastAsia" w:ascii="微软雅黑" w:hAnsi="微软雅黑" w:eastAsia="微软雅黑"/>
          <w:sz w:val="24"/>
          <w:u w:val="single"/>
        </w:rPr>
        <w:t xml:space="preserve">    </w:t>
      </w:r>
      <w:r>
        <w:rPr>
          <w:rFonts w:hint="eastAsia" w:ascii="微软雅黑" w:hAnsi="微软雅黑" w:eastAsia="微软雅黑"/>
          <w:sz w:val="24"/>
        </w:rPr>
        <w:t>日</w:t>
      </w:r>
      <w:r>
        <w:rPr>
          <w:rFonts w:hint="eastAsia" w:ascii="微软雅黑" w:hAnsi="微软雅黑" w:eastAsia="微软雅黑"/>
          <w:sz w:val="24"/>
        </w:rPr>
        <w:tab/>
      </w:r>
      <w:r>
        <w:rPr>
          <w:rFonts w:hint="eastAsia" w:ascii="微软雅黑" w:hAnsi="微软雅黑" w:eastAsia="微软雅黑"/>
          <w:sz w:val="24"/>
        </w:rPr>
        <w:t xml:space="preserve">   工作年限 </w:t>
      </w:r>
      <w:r>
        <w:rPr>
          <w:rFonts w:hint="eastAsia" w:ascii="微软雅黑" w:hAnsi="微软雅黑" w:eastAsia="微软雅黑"/>
          <w:sz w:val="24"/>
          <w:u w:val="single"/>
        </w:rPr>
        <w:t xml:space="preserve">         </w:t>
      </w:r>
    </w:p>
    <w:p>
      <w:pPr>
        <w:spacing w:line="460" w:lineRule="exact"/>
        <w:rPr>
          <w:rFonts w:ascii="微软雅黑" w:hAnsi="微软雅黑" w:eastAsia="微软雅黑"/>
          <w:sz w:val="24"/>
        </w:rPr>
      </w:pPr>
      <w:r>
        <w:rPr>
          <w:rFonts w:hint="eastAsia" w:ascii="微软雅黑" w:hAnsi="微软雅黑" w:eastAsia="微软雅黑"/>
          <w:sz w:val="24"/>
        </w:rPr>
        <w:t xml:space="preserve">身份证号 </w:t>
      </w:r>
      <w:r>
        <w:rPr>
          <w:rFonts w:hint="eastAsia" w:ascii="微软雅黑" w:hAnsi="微软雅黑" w:eastAsia="微软雅黑"/>
          <w:sz w:val="24"/>
          <w:u w:val="single"/>
        </w:rPr>
        <w:t xml:space="preserve">                      </w:t>
      </w:r>
      <w:r>
        <w:rPr>
          <w:rFonts w:hint="eastAsia" w:ascii="微软雅黑" w:hAnsi="微软雅黑" w:eastAsia="微软雅黑"/>
          <w:sz w:val="24"/>
        </w:rPr>
        <w:t xml:space="preserve"> </w:t>
      </w:r>
    </w:p>
    <w:p>
      <w:pPr>
        <w:spacing w:line="460" w:lineRule="exact"/>
        <w:rPr>
          <w:rFonts w:ascii="微软雅黑" w:hAnsi="微软雅黑" w:eastAsia="微软雅黑"/>
          <w:sz w:val="24"/>
          <w:u w:val="single"/>
        </w:rPr>
      </w:pPr>
      <w:r>
        <w:rPr>
          <w:rFonts w:hint="eastAsia" w:ascii="微软雅黑" w:hAnsi="微软雅黑" w:eastAsia="微软雅黑"/>
          <w:sz w:val="24"/>
        </w:rPr>
        <w:t xml:space="preserve">电    话 </w:t>
      </w:r>
      <w:r>
        <w:rPr>
          <w:rFonts w:hint="eastAsia" w:ascii="微软雅黑" w:hAnsi="微软雅黑" w:eastAsia="微软雅黑"/>
          <w:sz w:val="24"/>
          <w:u w:val="single"/>
        </w:rPr>
        <w:t xml:space="preserve">                    </w:t>
      </w:r>
      <w:r>
        <w:rPr>
          <w:rFonts w:hint="eastAsia" w:ascii="微软雅黑" w:hAnsi="微软雅黑" w:eastAsia="微软雅黑"/>
          <w:sz w:val="24"/>
        </w:rPr>
        <w:t xml:space="preserve">         手    机</w:t>
      </w:r>
      <w:r>
        <w:rPr>
          <w:rFonts w:hint="eastAsia" w:ascii="微软雅黑" w:hAnsi="微软雅黑" w:eastAsia="微软雅黑"/>
          <w:iCs/>
          <w:sz w:val="24"/>
        </w:rPr>
        <w:t xml:space="preserve"> </w:t>
      </w:r>
      <w:r>
        <w:rPr>
          <w:rFonts w:hint="eastAsia" w:ascii="微软雅黑" w:hAnsi="微软雅黑" w:eastAsia="微软雅黑"/>
          <w:sz w:val="24"/>
          <w:u w:val="single"/>
        </w:rPr>
        <w:t xml:space="preserve">                        </w:t>
      </w:r>
    </w:p>
    <w:p>
      <w:pPr>
        <w:spacing w:line="460" w:lineRule="exact"/>
        <w:rPr>
          <w:rFonts w:ascii="微软雅黑" w:hAnsi="微软雅黑" w:eastAsia="微软雅黑"/>
          <w:sz w:val="24"/>
          <w:u w:val="single"/>
        </w:rPr>
      </w:pPr>
      <w:r>
        <w:rPr>
          <w:rFonts w:hint="eastAsia" w:ascii="微软雅黑" w:hAnsi="微软雅黑" w:eastAsia="微软雅黑"/>
          <w:sz w:val="24"/>
        </w:rPr>
        <w:t xml:space="preserve">传    真 </w:t>
      </w:r>
      <w:r>
        <w:rPr>
          <w:rFonts w:hint="eastAsia" w:ascii="微软雅黑" w:hAnsi="微软雅黑" w:eastAsia="微软雅黑"/>
          <w:sz w:val="24"/>
          <w:u w:val="single"/>
        </w:rPr>
        <w:t xml:space="preserve">                     </w:t>
      </w:r>
      <w:r>
        <w:rPr>
          <w:rFonts w:hint="eastAsia" w:ascii="微软雅黑" w:hAnsi="微软雅黑" w:eastAsia="微软雅黑"/>
          <w:sz w:val="24"/>
        </w:rPr>
        <w:t xml:space="preserve">        电子信箱 </w:t>
      </w:r>
      <w:r>
        <w:rPr>
          <w:rFonts w:hint="eastAsia" w:ascii="微软雅黑" w:hAnsi="微软雅黑" w:eastAsia="微软雅黑"/>
          <w:sz w:val="24"/>
          <w:u w:val="single"/>
        </w:rPr>
        <w:t xml:space="preserve">                        </w:t>
      </w:r>
    </w:p>
    <w:p>
      <w:pPr>
        <w:spacing w:line="460" w:lineRule="exact"/>
        <w:rPr>
          <w:rFonts w:ascii="微软雅黑" w:hAnsi="微软雅黑" w:eastAsia="微软雅黑"/>
          <w:sz w:val="24"/>
          <w:u w:val="single"/>
        </w:rPr>
      </w:pPr>
      <w:r>
        <w:rPr>
          <w:rFonts w:hint="eastAsia" w:ascii="微软雅黑" w:hAnsi="微软雅黑" w:eastAsia="微软雅黑"/>
          <w:bCs/>
          <w:sz w:val="24"/>
        </w:rPr>
        <w:t>邮寄</w:t>
      </w:r>
      <w:r>
        <w:rPr>
          <w:rFonts w:hint="eastAsia" w:ascii="微软雅黑" w:hAnsi="微软雅黑" w:eastAsia="微软雅黑"/>
          <w:sz w:val="24"/>
        </w:rPr>
        <w:t xml:space="preserve">地址 </w:t>
      </w:r>
      <w:r>
        <w:rPr>
          <w:rFonts w:hint="eastAsia" w:ascii="微软雅黑" w:hAnsi="微软雅黑" w:eastAsia="微软雅黑"/>
          <w:sz w:val="24"/>
          <w:u w:val="single"/>
        </w:rPr>
        <w:t xml:space="preserve">                                            </w:t>
      </w:r>
    </w:p>
    <w:p>
      <w:pPr>
        <w:spacing w:line="460" w:lineRule="exact"/>
        <w:rPr>
          <w:rFonts w:ascii="微软雅黑" w:hAnsi="微软雅黑" w:eastAsia="微软雅黑"/>
          <w:sz w:val="24"/>
        </w:rPr>
      </w:pPr>
      <w:r>
        <w:rPr>
          <w:rFonts w:hint="eastAsia" w:ascii="微软雅黑" w:hAnsi="微软雅黑" w:eastAsia="微软雅黑"/>
          <w:sz w:val="24"/>
        </w:rPr>
        <w:t xml:space="preserve">请您指定一位紧急联系人 </w:t>
      </w:r>
      <w:r>
        <w:rPr>
          <w:rFonts w:hint="eastAsia" w:ascii="微软雅黑" w:hAnsi="微软雅黑" w:eastAsia="微软雅黑"/>
          <w:sz w:val="24"/>
          <w:u w:val="single"/>
        </w:rPr>
        <w:t xml:space="preserve">           </w:t>
      </w:r>
      <w:r>
        <w:rPr>
          <w:rFonts w:hint="eastAsia" w:ascii="微软雅黑" w:hAnsi="微软雅黑" w:eastAsia="微软雅黑"/>
          <w:sz w:val="24"/>
        </w:rPr>
        <w:t>（先生/女士）</w:t>
      </w:r>
    </w:p>
    <w:p>
      <w:pPr>
        <w:spacing w:line="460" w:lineRule="exact"/>
        <w:rPr>
          <w:rFonts w:ascii="微软雅黑" w:hAnsi="微软雅黑" w:eastAsia="微软雅黑"/>
          <w:sz w:val="24"/>
          <w:u w:val="single"/>
        </w:rPr>
      </w:pPr>
      <w:r>
        <w:rPr>
          <w:rFonts w:hint="eastAsia" w:ascii="微软雅黑" w:hAnsi="微软雅黑" w:eastAsia="微软雅黑"/>
          <w:sz w:val="24"/>
        </w:rPr>
        <w:t xml:space="preserve">电话/手机 </w:t>
      </w:r>
      <w:r>
        <w:rPr>
          <w:rFonts w:hint="eastAsia" w:ascii="微软雅黑" w:hAnsi="微软雅黑" w:eastAsia="微软雅黑"/>
          <w:sz w:val="24"/>
          <w:u w:val="single"/>
        </w:rPr>
        <w:t xml:space="preserve">                    </w:t>
      </w:r>
      <w:r>
        <w:rPr>
          <w:rFonts w:hint="eastAsia" w:ascii="微软雅黑" w:hAnsi="微软雅黑" w:eastAsia="微软雅黑"/>
          <w:sz w:val="24"/>
        </w:rPr>
        <w:t xml:space="preserve">        电子信箱 </w:t>
      </w:r>
      <w:r>
        <w:rPr>
          <w:rFonts w:hint="eastAsia" w:ascii="微软雅黑" w:hAnsi="微软雅黑" w:eastAsia="微软雅黑"/>
          <w:sz w:val="24"/>
          <w:u w:val="single"/>
        </w:rPr>
        <w:t xml:space="preserve">                         </w:t>
      </w:r>
    </w:p>
    <w:p>
      <w:pPr>
        <w:spacing w:line="460" w:lineRule="exact"/>
        <w:rPr>
          <w:rFonts w:ascii="微软雅黑" w:hAnsi="微软雅黑" w:eastAsia="微软雅黑"/>
          <w:sz w:val="24"/>
        </w:rPr>
      </w:pPr>
      <w:r>
        <w:rPr>
          <w:rFonts w:hint="eastAsia" w:ascii="微软雅黑" w:hAnsi="微软雅黑" w:eastAsia="微软雅黑"/>
          <w:sz w:val="24"/>
        </w:rPr>
        <w:t>请您确认报名缴费后的发票抬头名称（单位/个人）</w:t>
      </w:r>
      <w:r>
        <w:rPr>
          <w:rFonts w:hint="eastAsia" w:ascii="微软雅黑" w:hAnsi="微软雅黑" w:eastAsia="微软雅黑"/>
          <w:sz w:val="24"/>
          <w:u w:val="single"/>
        </w:rPr>
        <w:t xml:space="preserve">                           </w:t>
      </w:r>
    </w:p>
    <w:p>
      <w:pPr>
        <w:pStyle w:val="12"/>
        <w:rPr>
          <w:rFonts w:ascii="微软雅黑" w:hAnsi="微软雅黑" w:eastAsia="微软雅黑" w:cs="微软雅黑"/>
          <w:sz w:val="24"/>
          <w:szCs w:val="24"/>
        </w:rPr>
      </w:pPr>
    </w:p>
    <w:p>
      <w:pPr>
        <w:rPr>
          <w:rFonts w:ascii="微软雅黑" w:hAnsi="微软雅黑" w:eastAsia="微软雅黑"/>
          <w:b/>
          <w:bCs/>
          <w:sz w:val="28"/>
          <w:szCs w:val="28"/>
          <w:shd w:val="pct10" w:color="auto" w:fill="FFFFFF"/>
        </w:rPr>
      </w:pPr>
      <w:r>
        <w:rPr>
          <w:rFonts w:hint="eastAsia" w:ascii="微软雅黑" w:hAnsi="微软雅黑" w:eastAsia="微软雅黑"/>
          <w:b/>
          <w:bCs/>
          <w:sz w:val="28"/>
          <w:szCs w:val="28"/>
          <w:shd w:val="pct10" w:color="auto" w:fill="FFFFFF"/>
        </w:rPr>
        <w:t xml:space="preserve">目前工作单位 </w:t>
      </w:r>
    </w:p>
    <w:p>
      <w:pPr>
        <w:spacing w:line="460" w:lineRule="exact"/>
        <w:rPr>
          <w:rFonts w:ascii="微软雅黑" w:hAnsi="微软雅黑" w:eastAsia="微软雅黑"/>
          <w:sz w:val="24"/>
        </w:rPr>
      </w:pPr>
      <w:r>
        <w:rPr>
          <w:rFonts w:hint="eastAsia" w:ascii="微软雅黑" w:hAnsi="微软雅黑" w:eastAsia="微软雅黑"/>
          <w:sz w:val="24"/>
          <w:lang w:val="en-GB"/>
        </w:rPr>
        <w:t>单位名称</w:t>
      </w:r>
      <w:r>
        <w:rPr>
          <w:rFonts w:hint="eastAsia" w:ascii="微软雅黑" w:hAnsi="微软雅黑" w:eastAsia="微软雅黑"/>
          <w:sz w:val="24"/>
        </w:rPr>
        <w:t xml:space="preserve"> </w:t>
      </w:r>
      <w:r>
        <w:rPr>
          <w:rFonts w:hint="eastAsia" w:ascii="微软雅黑" w:hAnsi="微软雅黑" w:eastAsia="微软雅黑"/>
          <w:sz w:val="24"/>
          <w:u w:val="single"/>
        </w:rPr>
        <w:t xml:space="preserve">                                           </w:t>
      </w:r>
    </w:p>
    <w:p>
      <w:pPr>
        <w:spacing w:line="460" w:lineRule="exact"/>
        <w:rPr>
          <w:rFonts w:ascii="微软雅黑" w:hAnsi="微软雅黑" w:eastAsia="微软雅黑"/>
          <w:sz w:val="24"/>
        </w:rPr>
      </w:pPr>
      <w:r>
        <w:rPr>
          <w:rFonts w:hint="eastAsia" w:ascii="微软雅黑" w:hAnsi="微软雅黑" w:eastAsia="微软雅黑"/>
          <w:sz w:val="24"/>
          <w:lang w:val="en-GB"/>
        </w:rPr>
        <w:t>职</w:t>
      </w:r>
      <w:r>
        <w:rPr>
          <w:rFonts w:hint="eastAsia" w:ascii="微软雅黑" w:hAnsi="微软雅黑" w:eastAsia="微软雅黑"/>
          <w:sz w:val="24"/>
        </w:rPr>
        <w:t xml:space="preserve">    </w:t>
      </w:r>
      <w:r>
        <w:rPr>
          <w:rFonts w:hint="eastAsia" w:ascii="微软雅黑" w:hAnsi="微软雅黑" w:eastAsia="微软雅黑"/>
          <w:sz w:val="24"/>
          <w:lang w:val="en-GB"/>
        </w:rPr>
        <w:t>务</w:t>
      </w:r>
      <w:r>
        <w:rPr>
          <w:rFonts w:hint="eastAsia" w:ascii="微软雅黑" w:hAnsi="微软雅黑" w:eastAsia="微软雅黑"/>
          <w:sz w:val="24"/>
        </w:rPr>
        <w:t xml:space="preserve"> </w:t>
      </w:r>
      <w:r>
        <w:rPr>
          <w:rFonts w:hint="eastAsia" w:ascii="微软雅黑" w:hAnsi="微软雅黑" w:eastAsia="微软雅黑"/>
          <w:sz w:val="24"/>
          <w:u w:val="single"/>
        </w:rPr>
        <w:t xml:space="preserve">                </w:t>
      </w:r>
      <w:r>
        <w:rPr>
          <w:rFonts w:hint="eastAsia" w:ascii="微软雅黑" w:hAnsi="微软雅黑" w:eastAsia="微软雅黑"/>
          <w:sz w:val="24"/>
        </w:rPr>
        <w:t xml:space="preserve"> </w:t>
      </w:r>
      <w:r>
        <w:rPr>
          <w:rFonts w:hint="eastAsia" w:ascii="微软雅黑" w:hAnsi="微软雅黑" w:eastAsia="微软雅黑"/>
          <w:sz w:val="24"/>
          <w:lang w:val="en-GB"/>
        </w:rPr>
        <w:t>担任此职务年限</w:t>
      </w:r>
      <w:r>
        <w:rPr>
          <w:rFonts w:hint="eastAsia" w:ascii="微软雅黑" w:hAnsi="微软雅黑" w:eastAsia="微软雅黑"/>
          <w:sz w:val="24"/>
          <w:u w:val="single"/>
        </w:rPr>
        <w:t xml:space="preserve">            </w:t>
      </w:r>
      <w:r>
        <w:rPr>
          <w:rFonts w:hint="eastAsia" w:ascii="微软雅黑" w:hAnsi="微软雅黑" w:eastAsia="微软雅黑"/>
          <w:sz w:val="24"/>
        </w:rPr>
        <w:t xml:space="preserve"> </w:t>
      </w:r>
    </w:p>
    <w:p>
      <w:pPr>
        <w:spacing w:line="460" w:lineRule="exact"/>
        <w:rPr>
          <w:rFonts w:ascii="微软雅黑" w:hAnsi="微软雅黑" w:eastAsia="微软雅黑"/>
          <w:sz w:val="24"/>
          <w:lang w:val="en-GB"/>
        </w:rPr>
      </w:pPr>
      <w:r>
        <w:rPr>
          <w:rFonts w:hint="eastAsia" w:ascii="微软雅黑" w:hAnsi="微软雅黑" w:eastAsia="微软雅黑"/>
          <w:sz w:val="24"/>
          <w:lang w:val="en-GB"/>
        </w:rPr>
        <w:t>单位地址</w:t>
      </w:r>
      <w:r>
        <w:rPr>
          <w:rFonts w:hint="eastAsia" w:ascii="微软雅黑" w:hAnsi="微软雅黑" w:eastAsia="微软雅黑"/>
          <w:sz w:val="24"/>
        </w:rPr>
        <w:t xml:space="preserve"> </w:t>
      </w:r>
      <w:r>
        <w:rPr>
          <w:rFonts w:hint="eastAsia" w:ascii="微软雅黑" w:hAnsi="微软雅黑" w:eastAsia="微软雅黑"/>
          <w:sz w:val="24"/>
          <w:u w:val="single"/>
        </w:rPr>
        <w:t xml:space="preserve">                                           </w:t>
      </w:r>
    </w:p>
    <w:p>
      <w:pPr>
        <w:spacing w:line="460" w:lineRule="exact"/>
        <w:rPr>
          <w:rFonts w:ascii="微软雅黑" w:hAnsi="微软雅黑" w:eastAsia="微软雅黑"/>
          <w:sz w:val="24"/>
          <w:lang w:val="en-GB"/>
        </w:rPr>
      </w:pPr>
    </w:p>
    <w:p>
      <w:pPr>
        <w:spacing w:line="460" w:lineRule="exact"/>
        <w:rPr>
          <w:rFonts w:ascii="微软雅黑" w:hAnsi="微软雅黑" w:eastAsia="微软雅黑"/>
          <w:sz w:val="24"/>
          <w:lang w:val="en-GB"/>
        </w:rPr>
      </w:pPr>
      <w:r>
        <w:rPr>
          <w:rFonts w:hint="eastAsia" w:ascii="微软雅黑" w:hAnsi="微软雅黑" w:eastAsia="微软雅黑"/>
          <w:sz w:val="24"/>
          <w:lang w:val="en-GB"/>
        </w:rPr>
        <w:t>请标明贵单位的行业类别</w:t>
      </w:r>
    </w:p>
    <w:p>
      <w:pPr>
        <w:spacing w:line="460" w:lineRule="exact"/>
        <w:rPr>
          <w:rFonts w:ascii="微软雅黑" w:hAnsi="微软雅黑" w:eastAsia="微软雅黑"/>
          <w:sz w:val="24"/>
          <w:lang w:val="en-GB"/>
        </w:rPr>
      </w:pPr>
      <w:r>
        <w:rPr>
          <w:rFonts w:hint="eastAsia" w:ascii="微软雅黑" w:hAnsi="微软雅黑" w:eastAsia="微软雅黑"/>
          <w:sz w:val="24"/>
          <w:lang w:val="en-GB"/>
        </w:rPr>
        <w:t xml:space="preserve">□金融        □媒体、广告     □咨询业、法律     □政府          </w:t>
      </w:r>
    </w:p>
    <w:p>
      <w:pPr>
        <w:spacing w:line="460" w:lineRule="exact"/>
        <w:rPr>
          <w:rFonts w:ascii="微软雅黑" w:hAnsi="微软雅黑" w:eastAsia="微软雅黑"/>
          <w:sz w:val="24"/>
          <w:lang w:val="en-GB"/>
        </w:rPr>
      </w:pPr>
      <w:r>
        <w:rPr>
          <w:rFonts w:hint="eastAsia" w:ascii="微软雅黑" w:hAnsi="微软雅黑" w:eastAsia="微软雅黑"/>
          <w:sz w:val="24"/>
          <w:lang w:val="en-GB"/>
        </w:rPr>
        <w:t>□</w:t>
      </w:r>
      <w:r>
        <w:rPr>
          <w:rFonts w:hint="eastAsia" w:ascii="微软雅黑" w:hAnsi="微软雅黑" w:eastAsia="微软雅黑"/>
          <w:sz w:val="24"/>
        </w:rPr>
        <w:t>房地产</w:t>
      </w:r>
      <w:r>
        <w:rPr>
          <w:rFonts w:hint="eastAsia" w:ascii="微软雅黑" w:hAnsi="微软雅黑" w:eastAsia="微软雅黑"/>
          <w:sz w:val="24"/>
          <w:lang w:val="en-GB"/>
        </w:rPr>
        <w:t xml:space="preserve">      □IT、电信       □高科技       □贸易、物流、电子商务  </w:t>
      </w:r>
    </w:p>
    <w:p>
      <w:pPr>
        <w:spacing w:line="460" w:lineRule="exact"/>
        <w:rPr>
          <w:rFonts w:ascii="微软雅黑" w:hAnsi="微软雅黑" w:eastAsia="微软雅黑"/>
          <w:sz w:val="24"/>
          <w:lang w:val="en-GB"/>
        </w:rPr>
      </w:pPr>
      <w:r>
        <w:rPr>
          <w:rFonts w:hint="eastAsia" w:ascii="微软雅黑" w:hAnsi="微软雅黑" w:eastAsia="微软雅黑"/>
          <w:sz w:val="24"/>
          <w:lang w:val="en-GB"/>
        </w:rPr>
        <w:t>□制造业、实体企业</w:t>
      </w:r>
      <w:r>
        <w:rPr>
          <w:rFonts w:hint="eastAsia" w:ascii="微软雅黑" w:hAnsi="微软雅黑" w:eastAsia="微软雅黑"/>
          <w:sz w:val="24"/>
        </w:rPr>
        <w:t xml:space="preserve">    </w:t>
      </w:r>
      <w:r>
        <w:rPr>
          <w:rFonts w:hint="eastAsia" w:ascii="微软雅黑" w:hAnsi="微软雅黑" w:eastAsia="微软雅黑"/>
          <w:sz w:val="24"/>
          <w:lang w:val="en-GB"/>
        </w:rPr>
        <w:t>□其他</w:t>
      </w:r>
      <w:r>
        <w:rPr>
          <w:rFonts w:hint="eastAsia" w:ascii="微软雅黑" w:hAnsi="微软雅黑" w:eastAsia="微软雅黑"/>
          <w:sz w:val="24"/>
          <w:u w:val="single"/>
        </w:rPr>
        <w:t xml:space="preserve">            </w:t>
      </w:r>
    </w:p>
    <w:p>
      <w:pPr>
        <w:spacing w:line="460" w:lineRule="exact"/>
        <w:rPr>
          <w:rFonts w:ascii="微软雅黑" w:hAnsi="微软雅黑" w:eastAsia="微软雅黑"/>
          <w:sz w:val="24"/>
          <w:lang w:val="en-GB"/>
        </w:rPr>
      </w:pPr>
    </w:p>
    <w:p>
      <w:pPr>
        <w:spacing w:line="460" w:lineRule="exact"/>
        <w:rPr>
          <w:rFonts w:ascii="微软雅黑" w:hAnsi="微软雅黑" w:eastAsia="微软雅黑"/>
          <w:sz w:val="24"/>
          <w:lang w:val="en-GB"/>
        </w:rPr>
      </w:pPr>
      <w:r>
        <w:rPr>
          <w:rFonts w:hint="eastAsia" w:ascii="微软雅黑" w:hAnsi="微软雅黑" w:eastAsia="微软雅黑"/>
          <w:sz w:val="24"/>
          <w:lang w:val="en-GB"/>
        </w:rPr>
        <w:t>请标明贵单位的性质</w:t>
      </w:r>
    </w:p>
    <w:p>
      <w:pPr>
        <w:spacing w:line="460" w:lineRule="exact"/>
        <w:rPr>
          <w:rFonts w:ascii="微软雅黑" w:hAnsi="微软雅黑" w:eastAsia="微软雅黑"/>
          <w:sz w:val="24"/>
        </w:rPr>
      </w:pPr>
      <w:r>
        <w:rPr>
          <w:rFonts w:hint="eastAsia" w:ascii="微软雅黑" w:hAnsi="微软雅黑" w:eastAsia="微软雅黑"/>
          <w:sz w:val="24"/>
          <w:lang w:val="en-GB"/>
        </w:rPr>
        <w:t>□政府机关/非盈利机构</w:t>
      </w:r>
      <w:r>
        <w:rPr>
          <w:rFonts w:hint="eastAsia" w:ascii="微软雅黑" w:hAnsi="微软雅黑" w:eastAsia="微软雅黑"/>
          <w:sz w:val="24"/>
        </w:rPr>
        <w:t xml:space="preserve">     </w:t>
      </w:r>
      <w:r>
        <w:rPr>
          <w:rFonts w:hint="eastAsia" w:ascii="微软雅黑" w:hAnsi="微软雅黑" w:eastAsia="微软雅黑"/>
          <w:sz w:val="24"/>
          <w:lang w:val="en-GB"/>
        </w:rPr>
        <w:t>□</w:t>
      </w:r>
      <w:r>
        <w:rPr>
          <w:rFonts w:hint="eastAsia" w:ascii="微软雅黑" w:hAnsi="微软雅黑" w:eastAsia="微软雅黑"/>
          <w:sz w:val="24"/>
        </w:rPr>
        <w:t xml:space="preserve"> </w:t>
      </w:r>
      <w:r>
        <w:rPr>
          <w:rFonts w:hint="eastAsia" w:ascii="微软雅黑" w:hAnsi="微软雅黑" w:eastAsia="微软雅黑"/>
          <w:sz w:val="24"/>
          <w:lang w:val="en-GB"/>
        </w:rPr>
        <w:t>国有企业     □民营     □集体</w:t>
      </w:r>
      <w:r>
        <w:rPr>
          <w:rFonts w:hint="eastAsia" w:ascii="微软雅黑" w:hAnsi="微软雅黑" w:eastAsia="微软雅黑"/>
          <w:sz w:val="24"/>
          <w:lang w:val="en-GB"/>
        </w:rPr>
        <w:tab/>
      </w:r>
      <w:r>
        <w:rPr>
          <w:rFonts w:hint="eastAsia" w:ascii="微软雅黑" w:hAnsi="微软雅黑" w:eastAsia="微软雅黑"/>
          <w:sz w:val="24"/>
        </w:rPr>
        <w:t xml:space="preserve"> </w:t>
      </w:r>
    </w:p>
    <w:p>
      <w:pPr>
        <w:spacing w:line="460" w:lineRule="exact"/>
        <w:rPr>
          <w:rFonts w:ascii="微软雅黑" w:hAnsi="微软雅黑" w:eastAsia="微软雅黑"/>
          <w:sz w:val="24"/>
          <w:lang w:val="en-GB"/>
        </w:rPr>
      </w:pPr>
      <w:r>
        <w:rPr>
          <w:rFonts w:hint="eastAsia" w:ascii="微软雅黑" w:hAnsi="微软雅黑" w:eastAsia="微软雅黑"/>
          <w:sz w:val="24"/>
          <w:lang w:val="en-GB"/>
        </w:rPr>
        <w:t xml:space="preserve">□外商独资（请注明外方所属国别/地区）      </w:t>
      </w:r>
    </w:p>
    <w:p>
      <w:pPr>
        <w:spacing w:line="460" w:lineRule="exact"/>
        <w:rPr>
          <w:rFonts w:ascii="微软雅黑" w:hAnsi="微软雅黑" w:eastAsia="微软雅黑"/>
          <w:sz w:val="24"/>
          <w:lang w:val="en-GB"/>
        </w:rPr>
      </w:pPr>
      <w:r>
        <w:rPr>
          <w:rFonts w:hint="eastAsia" w:ascii="微软雅黑" w:hAnsi="微软雅黑" w:eastAsia="微软雅黑"/>
          <w:sz w:val="24"/>
          <w:lang w:val="en-GB"/>
        </w:rPr>
        <w:t>□中外合资（请注明外方所属国别/地区）</w:t>
      </w:r>
    </w:p>
    <w:p>
      <w:pPr>
        <w:spacing w:line="460" w:lineRule="exact"/>
        <w:rPr>
          <w:rFonts w:ascii="微软雅黑" w:hAnsi="微软雅黑" w:eastAsia="微软雅黑"/>
          <w:sz w:val="24"/>
          <w:lang w:val="en-GB"/>
        </w:rPr>
      </w:pPr>
      <w:r>
        <w:rPr>
          <w:rFonts w:hint="eastAsia" w:ascii="微软雅黑" w:hAnsi="微软雅黑" w:eastAsia="微软雅黑"/>
          <w:sz w:val="24"/>
          <w:lang w:val="en-GB"/>
        </w:rPr>
        <w:t xml:space="preserve">□其他              </w:t>
      </w:r>
    </w:p>
    <w:p>
      <w:pPr>
        <w:spacing w:line="460" w:lineRule="exact"/>
        <w:rPr>
          <w:rFonts w:ascii="微软雅黑" w:hAnsi="微软雅黑" w:eastAsia="微软雅黑"/>
          <w:sz w:val="24"/>
        </w:rPr>
      </w:pPr>
    </w:p>
    <w:p>
      <w:pPr>
        <w:spacing w:line="460" w:lineRule="exact"/>
        <w:rPr>
          <w:rFonts w:ascii="微软雅黑" w:hAnsi="微软雅黑" w:eastAsia="微软雅黑"/>
          <w:sz w:val="24"/>
        </w:rPr>
      </w:pPr>
    </w:p>
    <w:p>
      <w:pPr>
        <w:spacing w:line="460" w:lineRule="exact"/>
        <w:rPr>
          <w:rFonts w:ascii="微软雅黑" w:hAnsi="微软雅黑" w:eastAsia="微软雅黑"/>
          <w:sz w:val="24"/>
        </w:rPr>
      </w:pPr>
    </w:p>
    <w:p>
      <w:pPr>
        <w:spacing w:line="460" w:lineRule="exact"/>
        <w:rPr>
          <w:rFonts w:ascii="微软雅黑" w:hAnsi="微软雅黑" w:eastAsia="微软雅黑"/>
          <w:sz w:val="24"/>
        </w:rPr>
      </w:pPr>
    </w:p>
    <w:p>
      <w:pPr>
        <w:spacing w:line="460" w:lineRule="exact"/>
        <w:rPr>
          <w:rFonts w:ascii="微软雅黑" w:hAnsi="微软雅黑" w:eastAsia="微软雅黑"/>
          <w:sz w:val="24"/>
        </w:rPr>
      </w:pPr>
    </w:p>
    <w:p>
      <w:pPr>
        <w:rPr>
          <w:rFonts w:ascii="微软雅黑" w:hAnsi="微软雅黑" w:eastAsia="微软雅黑"/>
          <w:b/>
          <w:bCs/>
          <w:sz w:val="28"/>
          <w:szCs w:val="28"/>
          <w:shd w:val="pct10" w:color="auto" w:fill="FFFFFF"/>
        </w:rPr>
      </w:pPr>
      <w:r>
        <w:rPr>
          <w:rFonts w:hint="eastAsia" w:ascii="微软雅黑" w:hAnsi="微软雅黑" w:eastAsia="微软雅黑"/>
          <w:b/>
          <w:bCs/>
          <w:sz w:val="28"/>
          <w:szCs w:val="28"/>
          <w:shd w:val="pct10" w:color="auto" w:fill="FFFFFF"/>
        </w:rPr>
        <w:t xml:space="preserve">工作背景 </w:t>
      </w:r>
    </w:p>
    <w:p>
      <w:pPr>
        <w:spacing w:line="460" w:lineRule="exact"/>
        <w:rPr>
          <w:rFonts w:ascii="微软雅黑" w:hAnsi="微软雅黑" w:eastAsia="微软雅黑"/>
          <w:sz w:val="24"/>
        </w:rPr>
      </w:pPr>
      <w:r>
        <w:rPr>
          <w:rFonts w:hint="eastAsia" w:ascii="微软雅黑" w:hAnsi="微软雅黑" w:eastAsia="微软雅黑"/>
          <w:sz w:val="24"/>
        </w:rPr>
        <w:t>请在下面的空格中详细写明您所从事过的所有工作，必须列明从事每项工作的时间和职务，并简述担任该职务时的工作内容（从最近的工作开始）。</w:t>
      </w:r>
    </w:p>
    <w:tbl>
      <w:tblPr>
        <w:tblStyle w:val="6"/>
        <w:tblW w:w="0" w:type="auto"/>
        <w:tblInd w:w="0" w:type="dxa"/>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Layout w:type="fixed"/>
        <w:tblCellMar>
          <w:top w:w="0" w:type="dxa"/>
          <w:left w:w="170" w:type="dxa"/>
          <w:bottom w:w="0" w:type="dxa"/>
          <w:right w:w="170" w:type="dxa"/>
        </w:tblCellMar>
      </w:tblPr>
      <w:tblGrid>
        <w:gridCol w:w="2929"/>
        <w:gridCol w:w="3740"/>
        <w:gridCol w:w="220"/>
        <w:gridCol w:w="2495"/>
      </w:tblGrid>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CellMar>
            <w:top w:w="0" w:type="dxa"/>
            <w:left w:w="170" w:type="dxa"/>
            <w:bottom w:w="0" w:type="dxa"/>
            <w:right w:w="170" w:type="dxa"/>
          </w:tblCellMar>
        </w:tblPrEx>
        <w:trPr>
          <w:trHeight w:val="402" w:hRule="atLeast"/>
        </w:trPr>
        <w:tc>
          <w:tcPr>
            <w:tcW w:w="2929" w:type="dxa"/>
            <w:vAlign w:val="center"/>
          </w:tcPr>
          <w:p>
            <w:pPr>
              <w:spacing w:line="600" w:lineRule="exact"/>
              <w:jc w:val="center"/>
              <w:rPr>
                <w:rFonts w:ascii="微软雅黑" w:hAnsi="微软雅黑" w:eastAsia="微软雅黑"/>
                <w:b/>
                <w:sz w:val="24"/>
              </w:rPr>
            </w:pPr>
            <w:r>
              <w:rPr>
                <w:rFonts w:hint="eastAsia" w:ascii="微软雅黑" w:hAnsi="微软雅黑" w:eastAsia="微软雅黑"/>
                <w:b/>
                <w:sz w:val="24"/>
                <w:lang w:val="en-GB"/>
              </w:rPr>
              <w:t>时    间</w:t>
            </w:r>
          </w:p>
        </w:tc>
        <w:tc>
          <w:tcPr>
            <w:tcW w:w="3960" w:type="dxa"/>
            <w:gridSpan w:val="2"/>
            <w:vAlign w:val="center"/>
          </w:tcPr>
          <w:p>
            <w:pPr>
              <w:spacing w:line="600" w:lineRule="exact"/>
              <w:jc w:val="center"/>
              <w:rPr>
                <w:rFonts w:ascii="微软雅黑" w:hAnsi="微软雅黑" w:eastAsia="微软雅黑"/>
                <w:b/>
                <w:sz w:val="24"/>
                <w:lang w:val="en-GB"/>
              </w:rPr>
            </w:pPr>
            <w:r>
              <w:rPr>
                <w:rFonts w:hint="eastAsia" w:ascii="微软雅黑" w:hAnsi="微软雅黑" w:eastAsia="微软雅黑"/>
                <w:b/>
                <w:sz w:val="24"/>
                <w:lang w:val="en-GB"/>
              </w:rPr>
              <w:t>单位名称</w:t>
            </w:r>
          </w:p>
        </w:tc>
        <w:tc>
          <w:tcPr>
            <w:tcW w:w="2495" w:type="dxa"/>
            <w:vAlign w:val="center"/>
          </w:tcPr>
          <w:p>
            <w:pPr>
              <w:spacing w:line="600" w:lineRule="exact"/>
              <w:jc w:val="center"/>
              <w:rPr>
                <w:rFonts w:ascii="微软雅黑" w:hAnsi="微软雅黑" w:eastAsia="微软雅黑"/>
                <w:b/>
                <w:sz w:val="24"/>
                <w:lang w:val="en-GB"/>
              </w:rPr>
            </w:pPr>
            <w:r>
              <w:rPr>
                <w:rFonts w:hint="eastAsia" w:ascii="微软雅黑" w:hAnsi="微软雅黑" w:eastAsia="微软雅黑"/>
                <w:b/>
                <w:sz w:val="24"/>
                <w:lang w:val="en-GB"/>
              </w:rPr>
              <w:t>职    务</w:t>
            </w: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CellMar>
            <w:top w:w="0" w:type="dxa"/>
            <w:left w:w="170" w:type="dxa"/>
            <w:bottom w:w="0" w:type="dxa"/>
            <w:right w:w="170" w:type="dxa"/>
          </w:tblCellMar>
        </w:tblPrEx>
        <w:trPr>
          <w:trHeight w:val="420" w:hRule="atLeast"/>
        </w:trPr>
        <w:tc>
          <w:tcPr>
            <w:tcW w:w="2929" w:type="dxa"/>
            <w:vAlign w:val="center"/>
          </w:tcPr>
          <w:p>
            <w:pPr>
              <w:spacing w:line="600" w:lineRule="exact"/>
              <w:rPr>
                <w:rFonts w:ascii="微软雅黑" w:hAnsi="微软雅黑" w:eastAsia="微软雅黑"/>
                <w:sz w:val="24"/>
              </w:rPr>
            </w:pPr>
          </w:p>
        </w:tc>
        <w:tc>
          <w:tcPr>
            <w:tcW w:w="3960" w:type="dxa"/>
            <w:gridSpan w:val="2"/>
            <w:vAlign w:val="center"/>
          </w:tcPr>
          <w:p>
            <w:pPr>
              <w:spacing w:line="600" w:lineRule="exact"/>
              <w:rPr>
                <w:rFonts w:ascii="微软雅黑" w:hAnsi="微软雅黑" w:eastAsia="微软雅黑"/>
                <w:sz w:val="24"/>
                <w:lang w:val="en-GB"/>
              </w:rPr>
            </w:pPr>
          </w:p>
        </w:tc>
        <w:tc>
          <w:tcPr>
            <w:tcW w:w="2495" w:type="dxa"/>
            <w:vAlign w:val="center"/>
          </w:tcPr>
          <w:p>
            <w:pPr>
              <w:spacing w:line="600" w:lineRule="exact"/>
              <w:rPr>
                <w:rFonts w:ascii="微软雅黑" w:hAnsi="微软雅黑" w:eastAsia="微软雅黑"/>
                <w:sz w:val="24"/>
                <w:lang w:val="en-GB"/>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CellMar>
            <w:top w:w="0" w:type="dxa"/>
            <w:left w:w="170" w:type="dxa"/>
            <w:bottom w:w="0" w:type="dxa"/>
            <w:right w:w="170" w:type="dxa"/>
          </w:tblCellMar>
        </w:tblPrEx>
        <w:trPr>
          <w:trHeight w:val="1779" w:hRule="atLeast"/>
        </w:trPr>
        <w:tc>
          <w:tcPr>
            <w:tcW w:w="2929" w:type="dxa"/>
            <w:vAlign w:val="center"/>
          </w:tcPr>
          <w:p>
            <w:pPr>
              <w:spacing w:line="600" w:lineRule="exact"/>
              <w:jc w:val="center"/>
              <w:rPr>
                <w:rFonts w:ascii="微软雅黑" w:hAnsi="微软雅黑" w:eastAsia="微软雅黑"/>
                <w:sz w:val="24"/>
                <w:lang w:val="en-GB"/>
              </w:rPr>
            </w:pPr>
            <w:r>
              <w:rPr>
                <w:rFonts w:hint="eastAsia" w:ascii="微软雅黑" w:hAnsi="微软雅黑" w:eastAsia="微软雅黑"/>
                <w:sz w:val="24"/>
                <w:lang w:val="en-GB"/>
              </w:rPr>
              <w:t>主要职责主要成就</w:t>
            </w:r>
          </w:p>
          <w:p>
            <w:pPr>
              <w:spacing w:line="600" w:lineRule="exact"/>
              <w:rPr>
                <w:rFonts w:ascii="微软雅黑" w:hAnsi="微软雅黑" w:eastAsia="微软雅黑"/>
                <w:sz w:val="24"/>
                <w:lang w:val="en-GB"/>
              </w:rPr>
            </w:pPr>
            <w:r>
              <w:rPr>
                <w:rFonts w:hint="eastAsia" w:ascii="微软雅黑" w:hAnsi="微软雅黑" w:eastAsia="微软雅黑"/>
                <w:sz w:val="24"/>
                <w:lang w:val="en-GB"/>
              </w:rPr>
              <w:t xml:space="preserve">           </w:t>
            </w:r>
          </w:p>
        </w:tc>
        <w:tc>
          <w:tcPr>
            <w:tcW w:w="6455" w:type="dxa"/>
            <w:gridSpan w:val="3"/>
            <w:vAlign w:val="center"/>
          </w:tcPr>
          <w:p>
            <w:pPr>
              <w:jc w:val="left"/>
              <w:rPr>
                <w:rFonts w:ascii="微软雅黑" w:hAnsi="微软雅黑" w:eastAsia="微软雅黑"/>
                <w:sz w:val="24"/>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CellMar>
            <w:top w:w="0" w:type="dxa"/>
            <w:left w:w="170" w:type="dxa"/>
            <w:bottom w:w="0" w:type="dxa"/>
            <w:right w:w="170" w:type="dxa"/>
          </w:tblCellMar>
        </w:tblPrEx>
        <w:trPr>
          <w:trHeight w:val="486" w:hRule="atLeast"/>
        </w:trPr>
        <w:tc>
          <w:tcPr>
            <w:tcW w:w="2929" w:type="dxa"/>
            <w:vAlign w:val="center"/>
          </w:tcPr>
          <w:p>
            <w:pPr>
              <w:spacing w:line="600" w:lineRule="exact"/>
              <w:jc w:val="center"/>
              <w:rPr>
                <w:rFonts w:ascii="微软雅黑" w:hAnsi="微软雅黑" w:eastAsia="微软雅黑"/>
                <w:sz w:val="24"/>
              </w:rPr>
            </w:pPr>
          </w:p>
        </w:tc>
        <w:tc>
          <w:tcPr>
            <w:tcW w:w="3960" w:type="dxa"/>
            <w:gridSpan w:val="2"/>
            <w:vAlign w:val="center"/>
          </w:tcPr>
          <w:p>
            <w:pPr>
              <w:spacing w:line="600" w:lineRule="exact"/>
              <w:rPr>
                <w:rFonts w:ascii="微软雅黑" w:hAnsi="微软雅黑" w:eastAsia="微软雅黑"/>
                <w:sz w:val="24"/>
                <w:lang w:val="en-GB"/>
              </w:rPr>
            </w:pPr>
          </w:p>
        </w:tc>
        <w:tc>
          <w:tcPr>
            <w:tcW w:w="2495" w:type="dxa"/>
            <w:vAlign w:val="center"/>
          </w:tcPr>
          <w:p>
            <w:pPr>
              <w:spacing w:line="600" w:lineRule="exact"/>
              <w:rPr>
                <w:rFonts w:ascii="微软雅黑" w:hAnsi="微软雅黑" w:eastAsia="微软雅黑"/>
                <w:sz w:val="24"/>
                <w:lang w:val="en-GB"/>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CellMar>
            <w:top w:w="0" w:type="dxa"/>
            <w:left w:w="170" w:type="dxa"/>
            <w:bottom w:w="0" w:type="dxa"/>
            <w:right w:w="170" w:type="dxa"/>
          </w:tblCellMar>
        </w:tblPrEx>
        <w:trPr>
          <w:trHeight w:val="1851" w:hRule="atLeast"/>
        </w:trPr>
        <w:tc>
          <w:tcPr>
            <w:tcW w:w="2929" w:type="dxa"/>
            <w:vAlign w:val="center"/>
          </w:tcPr>
          <w:p>
            <w:pPr>
              <w:spacing w:line="600" w:lineRule="exact"/>
              <w:jc w:val="center"/>
              <w:rPr>
                <w:rFonts w:ascii="微软雅黑" w:hAnsi="微软雅黑" w:eastAsia="微软雅黑"/>
                <w:sz w:val="24"/>
                <w:lang w:val="en-GB"/>
              </w:rPr>
            </w:pPr>
            <w:r>
              <w:rPr>
                <w:rFonts w:hint="eastAsia" w:ascii="微软雅黑" w:hAnsi="微软雅黑" w:eastAsia="微软雅黑"/>
                <w:sz w:val="24"/>
                <w:lang w:val="en-GB"/>
              </w:rPr>
              <w:t>主要职责与主要成就</w:t>
            </w:r>
          </w:p>
          <w:p>
            <w:pPr>
              <w:spacing w:line="600" w:lineRule="exact"/>
              <w:jc w:val="center"/>
              <w:rPr>
                <w:rFonts w:ascii="微软雅黑" w:hAnsi="微软雅黑" w:eastAsia="微软雅黑"/>
                <w:sz w:val="24"/>
                <w:lang w:val="en-GB"/>
              </w:rPr>
            </w:pPr>
          </w:p>
        </w:tc>
        <w:tc>
          <w:tcPr>
            <w:tcW w:w="6455" w:type="dxa"/>
            <w:gridSpan w:val="3"/>
            <w:vAlign w:val="center"/>
          </w:tcPr>
          <w:p>
            <w:pPr>
              <w:jc w:val="left"/>
              <w:rPr>
                <w:rFonts w:ascii="宋体" w:hAnsi="宋体" w:cs="宋体"/>
                <w:sz w:val="24"/>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CellMar>
            <w:top w:w="0" w:type="dxa"/>
            <w:left w:w="170" w:type="dxa"/>
            <w:bottom w:w="0" w:type="dxa"/>
            <w:right w:w="170" w:type="dxa"/>
          </w:tblCellMar>
        </w:tblPrEx>
        <w:trPr>
          <w:trHeight w:val="90" w:hRule="atLeast"/>
        </w:trPr>
        <w:tc>
          <w:tcPr>
            <w:tcW w:w="2929" w:type="dxa"/>
            <w:vAlign w:val="center"/>
          </w:tcPr>
          <w:p>
            <w:pPr>
              <w:spacing w:line="600" w:lineRule="exact"/>
              <w:jc w:val="center"/>
              <w:rPr>
                <w:rFonts w:ascii="微软雅黑" w:hAnsi="微软雅黑" w:eastAsia="微软雅黑"/>
                <w:sz w:val="24"/>
              </w:rPr>
            </w:pPr>
          </w:p>
        </w:tc>
        <w:tc>
          <w:tcPr>
            <w:tcW w:w="3740" w:type="dxa"/>
            <w:vAlign w:val="center"/>
          </w:tcPr>
          <w:p>
            <w:pPr>
              <w:spacing w:line="600" w:lineRule="exact"/>
              <w:rPr>
                <w:rFonts w:ascii="微软雅黑" w:hAnsi="微软雅黑" w:eastAsia="微软雅黑"/>
                <w:sz w:val="24"/>
                <w:lang w:val="en-GB"/>
              </w:rPr>
            </w:pPr>
          </w:p>
        </w:tc>
        <w:tc>
          <w:tcPr>
            <w:tcW w:w="2715" w:type="dxa"/>
            <w:gridSpan w:val="2"/>
            <w:vAlign w:val="center"/>
          </w:tcPr>
          <w:p>
            <w:pPr>
              <w:spacing w:line="600" w:lineRule="exact"/>
              <w:jc w:val="center"/>
              <w:rPr>
                <w:rFonts w:ascii="微软雅黑" w:hAnsi="微软雅黑" w:eastAsia="微软雅黑"/>
                <w:sz w:val="24"/>
                <w:lang w:val="en-GB"/>
              </w:rPr>
            </w:pPr>
            <w:r>
              <w:rPr>
                <w:rFonts w:hint="eastAsia" w:ascii="宋体" w:hAnsi="宋体" w:cs="宋体"/>
                <w:sz w:val="24"/>
              </w:rPr>
              <w:t xml:space="preserve"> </w:t>
            </w: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CellMar>
            <w:top w:w="0" w:type="dxa"/>
            <w:left w:w="170" w:type="dxa"/>
            <w:bottom w:w="0" w:type="dxa"/>
            <w:right w:w="170" w:type="dxa"/>
          </w:tblCellMar>
        </w:tblPrEx>
        <w:trPr>
          <w:trHeight w:val="1916" w:hRule="atLeast"/>
        </w:trPr>
        <w:tc>
          <w:tcPr>
            <w:tcW w:w="2929" w:type="dxa"/>
            <w:vAlign w:val="center"/>
          </w:tcPr>
          <w:p>
            <w:pPr>
              <w:spacing w:line="600" w:lineRule="exact"/>
              <w:jc w:val="center"/>
              <w:rPr>
                <w:rFonts w:ascii="微软雅黑" w:hAnsi="微软雅黑" w:eastAsia="微软雅黑"/>
                <w:sz w:val="24"/>
                <w:lang w:val="en-GB"/>
              </w:rPr>
            </w:pPr>
            <w:r>
              <w:rPr>
                <w:rFonts w:hint="eastAsia" w:ascii="微软雅黑" w:hAnsi="微软雅黑" w:eastAsia="微软雅黑"/>
                <w:sz w:val="24"/>
                <w:lang w:val="en-GB"/>
              </w:rPr>
              <w:t>主要职责与主要成就</w:t>
            </w:r>
          </w:p>
          <w:p>
            <w:pPr>
              <w:spacing w:line="600" w:lineRule="exact"/>
              <w:jc w:val="center"/>
              <w:rPr>
                <w:rFonts w:ascii="微软雅黑" w:hAnsi="微软雅黑" w:eastAsia="微软雅黑"/>
                <w:sz w:val="24"/>
                <w:lang w:val="en-GB"/>
              </w:rPr>
            </w:pPr>
          </w:p>
        </w:tc>
        <w:tc>
          <w:tcPr>
            <w:tcW w:w="6455" w:type="dxa"/>
            <w:gridSpan w:val="3"/>
            <w:vAlign w:val="center"/>
          </w:tcPr>
          <w:p>
            <w:pPr>
              <w:rPr>
                <w:rFonts w:ascii="宋体" w:hAnsi="宋体" w:cs="宋体"/>
                <w:sz w:val="24"/>
              </w:rPr>
            </w:pPr>
          </w:p>
        </w:tc>
      </w:tr>
    </w:tbl>
    <w:p>
      <w:pPr>
        <w:jc w:val="left"/>
        <w:rPr>
          <w:rFonts w:ascii="微软雅黑" w:hAnsi="微软雅黑" w:eastAsia="微软雅黑"/>
          <w:b/>
          <w:bCs/>
          <w:i/>
          <w:iCs/>
          <w:sz w:val="28"/>
          <w:szCs w:val="28"/>
          <w:shd w:val="pct10" w:color="auto" w:fill="FFFFFF"/>
          <w:lang w:val="en-GB"/>
        </w:rPr>
      </w:pPr>
    </w:p>
    <w:p>
      <w:pPr>
        <w:rPr>
          <w:rFonts w:ascii="微软雅黑" w:hAnsi="微软雅黑" w:eastAsia="微软雅黑"/>
          <w:b/>
          <w:bCs/>
          <w:sz w:val="24"/>
          <w:shd w:val="pct10" w:color="auto" w:fill="FFFFFF"/>
        </w:rPr>
      </w:pPr>
      <w:r>
        <w:rPr>
          <w:rFonts w:hint="eastAsia" w:ascii="微软雅黑" w:hAnsi="微软雅黑" w:eastAsia="微软雅黑"/>
          <w:b/>
          <w:bCs/>
          <w:sz w:val="28"/>
          <w:szCs w:val="28"/>
          <w:shd w:val="pct10" w:color="auto" w:fill="FFFFFF"/>
        </w:rPr>
        <w:t>教育背景</w:t>
      </w:r>
      <w:r>
        <w:rPr>
          <w:rFonts w:hint="eastAsia" w:ascii="微软雅黑" w:hAnsi="微软雅黑" w:eastAsia="微软雅黑"/>
          <w:b/>
          <w:bCs/>
          <w:sz w:val="24"/>
          <w:shd w:val="pct10" w:color="auto" w:fill="FFFFFF"/>
        </w:rPr>
        <w:t>（从最高学位起始）</w:t>
      </w:r>
    </w:p>
    <w:tbl>
      <w:tblPr>
        <w:tblStyle w:val="6"/>
        <w:tblW w:w="0" w:type="auto"/>
        <w:tblInd w:w="-34" w:type="dxa"/>
        <w:tblBorders>
          <w:top w:val="dotted" w:color="000000" w:sz="6" w:space="0"/>
          <w:left w:val="dotted" w:color="000000" w:sz="6" w:space="0"/>
          <w:bottom w:val="dotted" w:color="000000" w:sz="6" w:space="0"/>
          <w:right w:val="dotted" w:color="000000" w:sz="6" w:space="0"/>
          <w:insideH w:val="dotted" w:color="000000" w:sz="6" w:space="0"/>
          <w:insideV w:val="dotted" w:color="000000" w:sz="6" w:space="0"/>
        </w:tblBorders>
        <w:shd w:val="clear" w:color="auto" w:fill="FFFFFF"/>
        <w:tblLayout w:type="fixed"/>
        <w:tblCellMar>
          <w:top w:w="0" w:type="dxa"/>
          <w:left w:w="108" w:type="dxa"/>
          <w:bottom w:w="0" w:type="dxa"/>
          <w:right w:w="108" w:type="dxa"/>
        </w:tblCellMar>
      </w:tblPr>
      <w:tblGrid>
        <w:gridCol w:w="2541"/>
        <w:gridCol w:w="2120"/>
        <w:gridCol w:w="1173"/>
        <w:gridCol w:w="1027"/>
        <w:gridCol w:w="2495"/>
      </w:tblGrid>
      <w:tr>
        <w:tblPrEx>
          <w:tblBorders>
            <w:top w:val="dotted" w:color="000000" w:sz="6" w:space="0"/>
            <w:left w:val="dotted" w:color="000000" w:sz="6" w:space="0"/>
            <w:bottom w:val="dotted" w:color="000000" w:sz="6" w:space="0"/>
            <w:right w:val="dotted" w:color="000000" w:sz="6" w:space="0"/>
            <w:insideH w:val="dotted" w:color="000000" w:sz="6" w:space="0"/>
            <w:insideV w:val="dotted" w:color="000000" w:sz="6" w:space="0"/>
          </w:tblBorders>
          <w:shd w:val="clear" w:color="auto" w:fill="FFFFFF"/>
          <w:tblCellMar>
            <w:top w:w="0" w:type="dxa"/>
            <w:left w:w="108" w:type="dxa"/>
            <w:bottom w:w="0" w:type="dxa"/>
            <w:right w:w="108" w:type="dxa"/>
          </w:tblCellMar>
        </w:tblPrEx>
        <w:trPr>
          <w:trHeight w:val="814" w:hRule="exact"/>
        </w:trPr>
        <w:tc>
          <w:tcPr>
            <w:tcW w:w="2541" w:type="dxa"/>
            <w:shd w:val="clear" w:color="auto" w:fill="FFFFFF"/>
            <w:vAlign w:val="center"/>
          </w:tcPr>
          <w:p>
            <w:pPr>
              <w:spacing w:beforeLines="50" w:afterLines="50"/>
              <w:jc w:val="center"/>
              <w:rPr>
                <w:rFonts w:ascii="微软雅黑" w:hAnsi="微软雅黑" w:eastAsia="微软雅黑"/>
                <w:b/>
                <w:bCs/>
                <w:sz w:val="24"/>
                <w:lang w:val="en-GB"/>
              </w:rPr>
            </w:pPr>
            <w:r>
              <w:rPr>
                <w:rFonts w:hint="eastAsia" w:ascii="微软雅黑" w:hAnsi="微软雅黑" w:eastAsia="微软雅黑"/>
                <w:b/>
                <w:bCs/>
                <w:sz w:val="24"/>
                <w:lang w:val="en-GB"/>
              </w:rPr>
              <w:t>学  校</w:t>
            </w:r>
          </w:p>
          <w:p>
            <w:pPr>
              <w:spacing w:beforeLines="50" w:afterLines="50"/>
              <w:jc w:val="center"/>
              <w:rPr>
                <w:rFonts w:ascii="微软雅黑" w:hAnsi="微软雅黑" w:eastAsia="微软雅黑"/>
                <w:b/>
                <w:bCs/>
                <w:sz w:val="24"/>
                <w:lang w:val="en-GB"/>
              </w:rPr>
            </w:pPr>
          </w:p>
        </w:tc>
        <w:tc>
          <w:tcPr>
            <w:tcW w:w="2120" w:type="dxa"/>
            <w:shd w:val="clear" w:color="auto" w:fill="FFFFFF"/>
            <w:vAlign w:val="center"/>
          </w:tcPr>
          <w:p>
            <w:pPr>
              <w:spacing w:beforeLines="50" w:afterLines="50"/>
              <w:jc w:val="center"/>
              <w:rPr>
                <w:rFonts w:ascii="微软雅黑" w:hAnsi="微软雅黑" w:eastAsia="微软雅黑"/>
                <w:b/>
                <w:bCs/>
                <w:sz w:val="24"/>
                <w:lang w:val="en-GB"/>
              </w:rPr>
            </w:pPr>
            <w:r>
              <w:rPr>
                <w:rFonts w:hint="eastAsia" w:ascii="微软雅黑" w:hAnsi="微软雅黑" w:eastAsia="微软雅黑"/>
                <w:b/>
                <w:bCs/>
                <w:sz w:val="24"/>
                <w:lang w:val="en-GB"/>
              </w:rPr>
              <w:t>专  业</w:t>
            </w:r>
          </w:p>
          <w:p>
            <w:pPr>
              <w:spacing w:beforeLines="50" w:afterLines="50"/>
              <w:jc w:val="center"/>
              <w:rPr>
                <w:rFonts w:ascii="微软雅黑" w:hAnsi="微软雅黑" w:eastAsia="微软雅黑"/>
                <w:b/>
                <w:bCs/>
                <w:sz w:val="24"/>
                <w:lang w:val="en-GB"/>
              </w:rPr>
            </w:pPr>
          </w:p>
        </w:tc>
        <w:tc>
          <w:tcPr>
            <w:tcW w:w="1173" w:type="dxa"/>
            <w:shd w:val="clear" w:color="auto" w:fill="FFFFFF"/>
            <w:vAlign w:val="center"/>
          </w:tcPr>
          <w:p>
            <w:pPr>
              <w:spacing w:beforeLines="50" w:afterLines="50"/>
              <w:jc w:val="center"/>
              <w:rPr>
                <w:rFonts w:ascii="微软雅黑" w:hAnsi="微软雅黑" w:eastAsia="微软雅黑"/>
                <w:b/>
                <w:bCs/>
                <w:sz w:val="24"/>
                <w:lang w:val="en-GB"/>
              </w:rPr>
            </w:pPr>
            <w:r>
              <w:rPr>
                <w:rFonts w:hint="eastAsia" w:ascii="微软雅黑" w:hAnsi="微软雅黑" w:eastAsia="微软雅黑"/>
                <w:b/>
                <w:bCs/>
                <w:sz w:val="24"/>
                <w:lang w:val="en-GB"/>
              </w:rPr>
              <w:t>学 位</w:t>
            </w:r>
          </w:p>
          <w:p>
            <w:pPr>
              <w:spacing w:beforeLines="50" w:afterLines="50"/>
              <w:jc w:val="center"/>
              <w:rPr>
                <w:rFonts w:ascii="微软雅黑" w:hAnsi="微软雅黑" w:eastAsia="微软雅黑"/>
                <w:b/>
                <w:bCs/>
                <w:sz w:val="24"/>
                <w:lang w:val="en-GB"/>
              </w:rPr>
            </w:pPr>
          </w:p>
        </w:tc>
        <w:tc>
          <w:tcPr>
            <w:tcW w:w="1027" w:type="dxa"/>
            <w:shd w:val="clear" w:color="auto" w:fill="FFFFFF"/>
            <w:vAlign w:val="center"/>
          </w:tcPr>
          <w:p>
            <w:pPr>
              <w:spacing w:beforeLines="50" w:afterLines="50"/>
              <w:jc w:val="center"/>
              <w:rPr>
                <w:rFonts w:ascii="微软雅黑" w:hAnsi="微软雅黑" w:eastAsia="微软雅黑"/>
                <w:b/>
                <w:bCs/>
                <w:sz w:val="24"/>
                <w:lang w:val="en-GB"/>
              </w:rPr>
            </w:pPr>
            <w:r>
              <w:rPr>
                <w:rFonts w:hint="eastAsia" w:ascii="微软雅黑" w:hAnsi="微软雅黑" w:eastAsia="微软雅黑"/>
                <w:b/>
                <w:bCs/>
                <w:sz w:val="24"/>
                <w:lang w:val="en-GB"/>
              </w:rPr>
              <w:t>学 历</w:t>
            </w:r>
          </w:p>
          <w:p>
            <w:pPr>
              <w:spacing w:beforeLines="50" w:afterLines="50"/>
              <w:jc w:val="center"/>
              <w:rPr>
                <w:rFonts w:ascii="微软雅黑" w:hAnsi="微软雅黑" w:eastAsia="微软雅黑"/>
                <w:b/>
                <w:bCs/>
                <w:sz w:val="24"/>
                <w:lang w:val="en-GB"/>
              </w:rPr>
            </w:pPr>
          </w:p>
        </w:tc>
        <w:tc>
          <w:tcPr>
            <w:tcW w:w="2495" w:type="dxa"/>
            <w:shd w:val="clear" w:color="auto" w:fill="FFFFFF"/>
            <w:vAlign w:val="center"/>
          </w:tcPr>
          <w:p>
            <w:pPr>
              <w:spacing w:beforeLines="50" w:afterLines="50"/>
              <w:jc w:val="center"/>
              <w:rPr>
                <w:rFonts w:ascii="微软雅黑" w:hAnsi="微软雅黑" w:eastAsia="微软雅黑"/>
                <w:b/>
                <w:bCs/>
                <w:sz w:val="24"/>
                <w:lang w:val="en-GB"/>
              </w:rPr>
            </w:pPr>
            <w:r>
              <w:rPr>
                <w:rFonts w:hint="eastAsia" w:ascii="微软雅黑" w:hAnsi="微软雅黑" w:eastAsia="微软雅黑"/>
                <w:b/>
                <w:bCs/>
                <w:sz w:val="24"/>
                <w:lang w:val="en-GB"/>
              </w:rPr>
              <w:t>起止时间（年/月）</w:t>
            </w:r>
          </w:p>
          <w:p>
            <w:pPr>
              <w:spacing w:beforeLines="50" w:afterLines="50"/>
              <w:jc w:val="center"/>
              <w:rPr>
                <w:rFonts w:ascii="微软雅黑" w:hAnsi="微软雅黑" w:eastAsia="微软雅黑"/>
                <w:b/>
                <w:bCs/>
                <w:sz w:val="24"/>
                <w:lang w:val="en-GB"/>
              </w:rPr>
            </w:pPr>
          </w:p>
        </w:tc>
      </w:tr>
      <w:tr>
        <w:tblPrEx>
          <w:tblBorders>
            <w:top w:val="dotted" w:color="000000" w:sz="6" w:space="0"/>
            <w:left w:val="dotted" w:color="000000" w:sz="6" w:space="0"/>
            <w:bottom w:val="dotted" w:color="000000" w:sz="6" w:space="0"/>
            <w:right w:val="dotted" w:color="000000" w:sz="6" w:space="0"/>
            <w:insideH w:val="dotted" w:color="000000" w:sz="6" w:space="0"/>
            <w:insideV w:val="dotted" w:color="000000" w:sz="6" w:space="0"/>
          </w:tblBorders>
          <w:shd w:val="clear" w:color="auto" w:fill="FFFFFF"/>
          <w:tblCellMar>
            <w:top w:w="0" w:type="dxa"/>
            <w:left w:w="108" w:type="dxa"/>
            <w:bottom w:w="0" w:type="dxa"/>
            <w:right w:w="108" w:type="dxa"/>
          </w:tblCellMar>
        </w:tblPrEx>
        <w:trPr>
          <w:trHeight w:val="603" w:hRule="exact"/>
        </w:trPr>
        <w:tc>
          <w:tcPr>
            <w:tcW w:w="2541" w:type="dxa"/>
            <w:shd w:val="clear" w:color="auto" w:fill="FFFFFF"/>
            <w:vAlign w:val="center"/>
          </w:tcPr>
          <w:p>
            <w:pPr>
              <w:spacing w:line="600" w:lineRule="exact"/>
              <w:jc w:val="center"/>
              <w:rPr>
                <w:rFonts w:ascii="微软雅黑" w:hAnsi="微软雅黑" w:eastAsia="微软雅黑"/>
                <w:sz w:val="24"/>
              </w:rPr>
            </w:pPr>
          </w:p>
        </w:tc>
        <w:tc>
          <w:tcPr>
            <w:tcW w:w="2120" w:type="dxa"/>
            <w:shd w:val="clear" w:color="auto" w:fill="FFFFFF"/>
            <w:vAlign w:val="center"/>
          </w:tcPr>
          <w:p>
            <w:pPr>
              <w:spacing w:line="600" w:lineRule="exact"/>
              <w:jc w:val="center"/>
              <w:rPr>
                <w:rFonts w:ascii="微软雅黑" w:hAnsi="微软雅黑" w:eastAsia="微软雅黑"/>
                <w:sz w:val="24"/>
                <w:lang w:val="en-GB"/>
              </w:rPr>
            </w:pPr>
          </w:p>
        </w:tc>
        <w:tc>
          <w:tcPr>
            <w:tcW w:w="1173" w:type="dxa"/>
            <w:shd w:val="clear" w:color="auto" w:fill="FFFFFF"/>
            <w:vAlign w:val="center"/>
          </w:tcPr>
          <w:p>
            <w:pPr>
              <w:spacing w:line="600" w:lineRule="exact"/>
              <w:jc w:val="center"/>
              <w:rPr>
                <w:rFonts w:ascii="微软雅黑" w:hAnsi="微软雅黑" w:eastAsia="微软雅黑"/>
                <w:sz w:val="24"/>
                <w:lang w:val="en-GB"/>
              </w:rPr>
            </w:pPr>
          </w:p>
        </w:tc>
        <w:tc>
          <w:tcPr>
            <w:tcW w:w="1027" w:type="dxa"/>
            <w:shd w:val="clear" w:color="auto" w:fill="FFFFFF"/>
            <w:vAlign w:val="center"/>
          </w:tcPr>
          <w:p>
            <w:pPr>
              <w:spacing w:line="600" w:lineRule="exact"/>
              <w:jc w:val="center"/>
              <w:rPr>
                <w:rFonts w:ascii="微软雅黑" w:hAnsi="微软雅黑" w:eastAsia="微软雅黑"/>
                <w:sz w:val="24"/>
                <w:lang w:val="en-GB"/>
              </w:rPr>
            </w:pPr>
          </w:p>
        </w:tc>
        <w:tc>
          <w:tcPr>
            <w:tcW w:w="2495" w:type="dxa"/>
            <w:shd w:val="clear" w:color="auto" w:fill="FFFFFF"/>
            <w:vAlign w:val="center"/>
          </w:tcPr>
          <w:p>
            <w:pPr>
              <w:spacing w:line="600" w:lineRule="exact"/>
              <w:jc w:val="center"/>
              <w:rPr>
                <w:rFonts w:ascii="微软雅黑" w:hAnsi="微软雅黑" w:eastAsia="微软雅黑"/>
                <w:sz w:val="24"/>
              </w:rPr>
            </w:pPr>
          </w:p>
        </w:tc>
      </w:tr>
      <w:tr>
        <w:tblPrEx>
          <w:tblBorders>
            <w:top w:val="dotted" w:color="000000" w:sz="6" w:space="0"/>
            <w:left w:val="dotted" w:color="000000" w:sz="6" w:space="0"/>
            <w:bottom w:val="dotted" w:color="000000" w:sz="6" w:space="0"/>
            <w:right w:val="dotted" w:color="000000" w:sz="6" w:space="0"/>
            <w:insideH w:val="dotted" w:color="000000" w:sz="6" w:space="0"/>
            <w:insideV w:val="dotted" w:color="000000" w:sz="6" w:space="0"/>
          </w:tblBorders>
          <w:shd w:val="clear" w:color="auto" w:fill="FFFFFF"/>
          <w:tblCellMar>
            <w:top w:w="0" w:type="dxa"/>
            <w:left w:w="108" w:type="dxa"/>
            <w:bottom w:w="0" w:type="dxa"/>
            <w:right w:w="108" w:type="dxa"/>
          </w:tblCellMar>
        </w:tblPrEx>
        <w:trPr>
          <w:trHeight w:val="562" w:hRule="exact"/>
        </w:trPr>
        <w:tc>
          <w:tcPr>
            <w:tcW w:w="2541" w:type="dxa"/>
            <w:shd w:val="clear" w:color="auto" w:fill="FFFFFF"/>
            <w:vAlign w:val="center"/>
          </w:tcPr>
          <w:p>
            <w:pPr>
              <w:spacing w:line="600" w:lineRule="exact"/>
              <w:jc w:val="center"/>
              <w:rPr>
                <w:rFonts w:ascii="微软雅黑" w:hAnsi="微软雅黑" w:eastAsia="微软雅黑"/>
                <w:sz w:val="24"/>
                <w:lang w:val="en-GB"/>
              </w:rPr>
            </w:pPr>
          </w:p>
        </w:tc>
        <w:tc>
          <w:tcPr>
            <w:tcW w:w="2120" w:type="dxa"/>
            <w:shd w:val="clear" w:color="auto" w:fill="FFFFFF"/>
            <w:vAlign w:val="center"/>
          </w:tcPr>
          <w:p>
            <w:pPr>
              <w:spacing w:line="600" w:lineRule="exact"/>
              <w:jc w:val="center"/>
              <w:rPr>
                <w:rFonts w:ascii="微软雅黑" w:hAnsi="微软雅黑" w:eastAsia="微软雅黑"/>
                <w:sz w:val="24"/>
                <w:lang w:val="en-GB"/>
              </w:rPr>
            </w:pPr>
          </w:p>
        </w:tc>
        <w:tc>
          <w:tcPr>
            <w:tcW w:w="1173" w:type="dxa"/>
            <w:shd w:val="clear" w:color="auto" w:fill="FFFFFF"/>
            <w:vAlign w:val="center"/>
          </w:tcPr>
          <w:p>
            <w:pPr>
              <w:spacing w:line="600" w:lineRule="exact"/>
              <w:jc w:val="center"/>
              <w:rPr>
                <w:rFonts w:ascii="微软雅黑" w:hAnsi="微软雅黑" w:eastAsia="微软雅黑"/>
                <w:sz w:val="24"/>
                <w:lang w:val="en-GB"/>
              </w:rPr>
            </w:pPr>
          </w:p>
        </w:tc>
        <w:tc>
          <w:tcPr>
            <w:tcW w:w="1027" w:type="dxa"/>
            <w:shd w:val="clear" w:color="auto" w:fill="FFFFFF"/>
            <w:vAlign w:val="center"/>
          </w:tcPr>
          <w:p>
            <w:pPr>
              <w:spacing w:line="600" w:lineRule="exact"/>
              <w:jc w:val="center"/>
              <w:rPr>
                <w:rFonts w:ascii="微软雅黑" w:hAnsi="微软雅黑" w:eastAsia="微软雅黑"/>
                <w:sz w:val="24"/>
                <w:lang w:val="en-GB"/>
              </w:rPr>
            </w:pPr>
          </w:p>
        </w:tc>
        <w:tc>
          <w:tcPr>
            <w:tcW w:w="2495" w:type="dxa"/>
            <w:shd w:val="clear" w:color="auto" w:fill="FFFFFF"/>
            <w:vAlign w:val="center"/>
          </w:tcPr>
          <w:p>
            <w:pPr>
              <w:spacing w:line="600" w:lineRule="exact"/>
              <w:jc w:val="center"/>
              <w:rPr>
                <w:rFonts w:ascii="微软雅黑" w:hAnsi="微软雅黑" w:eastAsia="微软雅黑"/>
                <w:bCs/>
                <w:sz w:val="24"/>
              </w:rPr>
            </w:pPr>
          </w:p>
        </w:tc>
      </w:tr>
      <w:tr>
        <w:tblPrEx>
          <w:tblBorders>
            <w:top w:val="dotted" w:color="000000" w:sz="6" w:space="0"/>
            <w:left w:val="dotted" w:color="000000" w:sz="6" w:space="0"/>
            <w:bottom w:val="dotted" w:color="000000" w:sz="6" w:space="0"/>
            <w:right w:val="dotted" w:color="000000" w:sz="6" w:space="0"/>
            <w:insideH w:val="dotted" w:color="000000" w:sz="6" w:space="0"/>
            <w:insideV w:val="dotted" w:color="000000" w:sz="6" w:space="0"/>
          </w:tblBorders>
          <w:shd w:val="clear" w:color="auto" w:fill="FFFFFF"/>
          <w:tblCellMar>
            <w:top w:w="0" w:type="dxa"/>
            <w:left w:w="108" w:type="dxa"/>
            <w:bottom w:w="0" w:type="dxa"/>
            <w:right w:w="108" w:type="dxa"/>
          </w:tblCellMar>
        </w:tblPrEx>
        <w:trPr>
          <w:trHeight w:val="580" w:hRule="exact"/>
        </w:trPr>
        <w:tc>
          <w:tcPr>
            <w:tcW w:w="2541" w:type="dxa"/>
            <w:shd w:val="clear" w:color="auto" w:fill="FFFFFF"/>
            <w:vAlign w:val="center"/>
          </w:tcPr>
          <w:p>
            <w:pPr>
              <w:spacing w:line="600" w:lineRule="exact"/>
              <w:jc w:val="center"/>
              <w:rPr>
                <w:rFonts w:ascii="微软雅黑" w:hAnsi="微软雅黑" w:eastAsia="微软雅黑"/>
                <w:sz w:val="24"/>
                <w:lang w:val="en-GB"/>
              </w:rPr>
            </w:pPr>
          </w:p>
        </w:tc>
        <w:tc>
          <w:tcPr>
            <w:tcW w:w="2120" w:type="dxa"/>
            <w:shd w:val="clear" w:color="auto" w:fill="FFFFFF"/>
            <w:vAlign w:val="center"/>
          </w:tcPr>
          <w:p>
            <w:pPr>
              <w:spacing w:line="600" w:lineRule="exact"/>
              <w:jc w:val="center"/>
              <w:rPr>
                <w:rFonts w:ascii="微软雅黑" w:hAnsi="微软雅黑" w:eastAsia="微软雅黑"/>
                <w:sz w:val="24"/>
                <w:lang w:val="en-GB"/>
              </w:rPr>
            </w:pPr>
          </w:p>
        </w:tc>
        <w:tc>
          <w:tcPr>
            <w:tcW w:w="1173" w:type="dxa"/>
            <w:shd w:val="clear" w:color="auto" w:fill="FFFFFF"/>
            <w:vAlign w:val="center"/>
          </w:tcPr>
          <w:p>
            <w:pPr>
              <w:spacing w:line="600" w:lineRule="exact"/>
              <w:jc w:val="center"/>
              <w:rPr>
                <w:rFonts w:ascii="微软雅黑" w:hAnsi="微软雅黑" w:eastAsia="微软雅黑"/>
                <w:bCs/>
                <w:sz w:val="24"/>
                <w:lang w:val="en-GB"/>
              </w:rPr>
            </w:pPr>
          </w:p>
        </w:tc>
        <w:tc>
          <w:tcPr>
            <w:tcW w:w="1027" w:type="dxa"/>
            <w:shd w:val="clear" w:color="auto" w:fill="FFFFFF"/>
            <w:vAlign w:val="center"/>
          </w:tcPr>
          <w:p>
            <w:pPr>
              <w:spacing w:line="600" w:lineRule="exact"/>
              <w:jc w:val="center"/>
              <w:rPr>
                <w:rFonts w:ascii="微软雅黑" w:hAnsi="微软雅黑" w:eastAsia="微软雅黑"/>
                <w:bCs/>
                <w:sz w:val="24"/>
                <w:lang w:val="en-GB"/>
              </w:rPr>
            </w:pPr>
          </w:p>
        </w:tc>
        <w:tc>
          <w:tcPr>
            <w:tcW w:w="2495" w:type="dxa"/>
            <w:shd w:val="clear" w:color="auto" w:fill="FFFFFF"/>
            <w:vAlign w:val="center"/>
          </w:tcPr>
          <w:p>
            <w:pPr>
              <w:spacing w:line="600" w:lineRule="exact"/>
              <w:jc w:val="center"/>
              <w:rPr>
                <w:rFonts w:ascii="微软雅黑" w:hAnsi="微软雅黑" w:eastAsia="微软雅黑"/>
                <w:bCs/>
                <w:sz w:val="24"/>
              </w:rPr>
            </w:pPr>
          </w:p>
        </w:tc>
      </w:tr>
    </w:tbl>
    <w:p>
      <w:pPr>
        <w:rPr>
          <w:rFonts w:ascii="微软雅黑" w:hAnsi="微软雅黑" w:eastAsia="微软雅黑"/>
          <w:b/>
          <w:bCs/>
          <w:sz w:val="28"/>
          <w:szCs w:val="28"/>
          <w:shd w:val="pct10" w:color="auto" w:fill="FFFFFF"/>
        </w:rPr>
      </w:pPr>
      <w:r>
        <w:rPr>
          <w:rFonts w:hint="eastAsia" w:ascii="微软雅黑" w:hAnsi="微软雅黑" w:eastAsia="微软雅黑"/>
          <w:b/>
          <w:bCs/>
          <w:sz w:val="28"/>
          <w:szCs w:val="28"/>
          <w:shd w:val="pct10" w:color="auto" w:fill="FFFFFF"/>
        </w:rPr>
        <w:t>综述</w:t>
      </w:r>
    </w:p>
    <w:p>
      <w:pPr>
        <w:spacing w:line="460" w:lineRule="exact"/>
        <w:rPr>
          <w:rFonts w:ascii="微软雅黑" w:hAnsi="微软雅黑" w:eastAsia="微软雅黑" w:cs="微软雅黑"/>
          <w:sz w:val="24"/>
        </w:rPr>
      </w:pPr>
      <w:r>
        <w:rPr>
          <w:rFonts w:hint="eastAsia" w:ascii="微软雅黑" w:hAnsi="微软雅黑" w:eastAsia="微软雅黑" w:cs="微软雅黑"/>
          <w:sz w:val="24"/>
        </w:rPr>
        <w:t>个人的自我评价（含学术能力）：</w:t>
      </w:r>
    </w:p>
    <w:p>
      <w:pPr>
        <w:spacing w:line="460" w:lineRule="exact"/>
        <w:rPr>
          <w:rFonts w:ascii="微软雅黑" w:hAnsi="微软雅黑" w:eastAsia="微软雅黑" w:cs="微软雅黑"/>
          <w:sz w:val="24"/>
        </w:rPr>
      </w:pPr>
    </w:p>
    <w:p>
      <w:pPr>
        <w:spacing w:line="460" w:lineRule="exact"/>
        <w:rPr>
          <w:rFonts w:ascii="微软雅黑" w:hAnsi="微软雅黑" w:eastAsia="微软雅黑" w:cs="微软雅黑"/>
          <w:sz w:val="24"/>
        </w:rPr>
      </w:pPr>
    </w:p>
    <w:p>
      <w:pPr>
        <w:spacing w:line="460" w:lineRule="exact"/>
        <w:rPr>
          <w:rFonts w:ascii="微软雅黑" w:hAnsi="微软雅黑" w:eastAsia="微软雅黑" w:cs="微软雅黑"/>
          <w:sz w:val="24"/>
        </w:rPr>
      </w:pPr>
    </w:p>
    <w:p>
      <w:pPr>
        <w:spacing w:line="460" w:lineRule="exact"/>
        <w:rPr>
          <w:rFonts w:ascii="微软雅黑" w:hAnsi="微软雅黑" w:eastAsia="微软雅黑" w:cs="微软雅黑"/>
          <w:sz w:val="24"/>
        </w:rPr>
      </w:pPr>
    </w:p>
    <w:p>
      <w:pPr>
        <w:spacing w:line="460" w:lineRule="exact"/>
        <w:rPr>
          <w:rFonts w:ascii="微软雅黑" w:hAnsi="微软雅黑" w:eastAsia="微软雅黑" w:cs="微软雅黑"/>
          <w:sz w:val="24"/>
        </w:rPr>
      </w:pPr>
    </w:p>
    <w:p>
      <w:pPr>
        <w:spacing w:line="460" w:lineRule="exact"/>
        <w:rPr>
          <w:rFonts w:ascii="微软雅黑" w:hAnsi="微软雅黑" w:eastAsia="微软雅黑" w:cs="微软雅黑"/>
          <w:sz w:val="24"/>
        </w:rPr>
      </w:pPr>
    </w:p>
    <w:p>
      <w:pPr>
        <w:spacing w:line="460" w:lineRule="exact"/>
        <w:rPr>
          <w:rFonts w:ascii="微软雅黑" w:hAnsi="微软雅黑" w:eastAsia="微软雅黑" w:cs="微软雅黑"/>
          <w:sz w:val="24"/>
        </w:rPr>
      </w:pPr>
    </w:p>
    <w:p>
      <w:pPr>
        <w:spacing w:line="460" w:lineRule="exact"/>
        <w:rPr>
          <w:rFonts w:ascii="微软雅黑" w:hAnsi="微软雅黑" w:eastAsia="微软雅黑" w:cs="微软雅黑"/>
          <w:sz w:val="24"/>
        </w:rPr>
      </w:pPr>
    </w:p>
    <w:p>
      <w:pPr>
        <w:spacing w:line="460" w:lineRule="exact"/>
        <w:rPr>
          <w:rFonts w:ascii="微软雅黑" w:hAnsi="微软雅黑" w:eastAsia="微软雅黑" w:cs="微软雅黑"/>
          <w:sz w:val="24"/>
        </w:rPr>
      </w:pPr>
    </w:p>
    <w:p>
      <w:pPr>
        <w:spacing w:line="460" w:lineRule="exact"/>
        <w:rPr>
          <w:rFonts w:ascii="微软雅黑" w:hAnsi="微软雅黑" w:eastAsia="微软雅黑" w:cs="微软雅黑"/>
          <w:sz w:val="24"/>
        </w:rPr>
      </w:pPr>
    </w:p>
    <w:p>
      <w:pPr>
        <w:spacing w:line="460" w:lineRule="exact"/>
        <w:rPr>
          <w:rFonts w:ascii="微软雅黑" w:hAnsi="微软雅黑" w:eastAsia="微软雅黑" w:cs="微软雅黑"/>
          <w:sz w:val="24"/>
        </w:rPr>
      </w:pPr>
    </w:p>
    <w:p>
      <w:pPr>
        <w:spacing w:line="460" w:lineRule="exact"/>
        <w:rPr>
          <w:rFonts w:ascii="微软雅黑" w:hAnsi="微软雅黑" w:eastAsia="微软雅黑" w:cs="微软雅黑"/>
          <w:sz w:val="24"/>
        </w:rPr>
      </w:pPr>
    </w:p>
    <w:p>
      <w:pPr>
        <w:spacing w:line="460" w:lineRule="exact"/>
        <w:rPr>
          <w:rFonts w:ascii="微软雅黑" w:hAnsi="微软雅黑" w:eastAsia="微软雅黑" w:cs="微软雅黑"/>
          <w:sz w:val="24"/>
        </w:rPr>
      </w:pPr>
    </w:p>
    <w:p>
      <w:pPr>
        <w:spacing w:line="460" w:lineRule="exact"/>
        <w:rPr>
          <w:rFonts w:ascii="微软雅黑" w:hAnsi="微软雅黑" w:eastAsia="微软雅黑" w:cs="微软雅黑"/>
          <w:sz w:val="24"/>
        </w:rPr>
      </w:pPr>
    </w:p>
    <w:p>
      <w:pPr>
        <w:spacing w:line="460" w:lineRule="exact"/>
        <w:rPr>
          <w:rFonts w:ascii="微软雅黑" w:hAnsi="微软雅黑" w:eastAsia="微软雅黑" w:cs="微软雅黑"/>
          <w:sz w:val="24"/>
        </w:rPr>
      </w:pPr>
    </w:p>
    <w:p>
      <w:pPr>
        <w:spacing w:line="460" w:lineRule="exact"/>
        <w:rPr>
          <w:rFonts w:ascii="微软雅黑" w:hAnsi="微软雅黑" w:eastAsia="微软雅黑" w:cs="微软雅黑"/>
          <w:sz w:val="24"/>
        </w:rPr>
      </w:pPr>
    </w:p>
    <w:p>
      <w:pPr>
        <w:spacing w:line="460" w:lineRule="exact"/>
        <w:rPr>
          <w:rFonts w:ascii="微软雅黑" w:hAnsi="微软雅黑" w:eastAsia="微软雅黑" w:cs="微软雅黑"/>
          <w:sz w:val="24"/>
        </w:rPr>
      </w:pPr>
    </w:p>
    <w:p>
      <w:pPr>
        <w:spacing w:line="460" w:lineRule="exact"/>
        <w:rPr>
          <w:rFonts w:ascii="微软雅黑" w:hAnsi="微软雅黑" w:eastAsia="微软雅黑" w:cs="微软雅黑"/>
          <w:sz w:val="24"/>
        </w:rPr>
      </w:pPr>
    </w:p>
    <w:p>
      <w:pPr>
        <w:spacing w:line="460" w:lineRule="exact"/>
        <w:rPr>
          <w:rFonts w:ascii="微软雅黑" w:hAnsi="微软雅黑" w:eastAsia="微软雅黑" w:cs="微软雅黑"/>
          <w:sz w:val="24"/>
        </w:rPr>
      </w:pPr>
    </w:p>
    <w:p>
      <w:pPr>
        <w:spacing w:line="460" w:lineRule="exact"/>
        <w:rPr>
          <w:rFonts w:ascii="微软雅黑" w:hAnsi="微软雅黑" w:eastAsia="微软雅黑" w:cs="微软雅黑"/>
          <w:sz w:val="24"/>
        </w:rPr>
      </w:pPr>
    </w:p>
    <w:p>
      <w:pPr>
        <w:spacing w:line="460" w:lineRule="exact"/>
        <w:rPr>
          <w:rFonts w:ascii="微软雅黑" w:hAnsi="微软雅黑" w:eastAsia="微软雅黑" w:cs="微软雅黑"/>
          <w:sz w:val="24"/>
        </w:rPr>
      </w:pPr>
    </w:p>
    <w:p>
      <w:pPr>
        <w:spacing w:line="460" w:lineRule="exact"/>
        <w:rPr>
          <w:rFonts w:ascii="微软雅黑" w:hAnsi="微软雅黑" w:eastAsia="微软雅黑" w:cs="微软雅黑"/>
          <w:sz w:val="24"/>
        </w:rPr>
      </w:pPr>
    </w:p>
    <w:p>
      <w:pPr>
        <w:spacing w:line="460" w:lineRule="exact"/>
        <w:rPr>
          <w:rFonts w:ascii="微软雅黑" w:hAnsi="微软雅黑" w:eastAsia="微软雅黑" w:cs="微软雅黑"/>
          <w:sz w:val="24"/>
        </w:rPr>
      </w:pPr>
    </w:p>
    <w:p>
      <w:pPr>
        <w:autoSpaceDN w:val="0"/>
        <w:spacing w:line="360" w:lineRule="auto"/>
        <w:rPr>
          <w:rFonts w:ascii="微软雅黑" w:hAnsi="微软雅黑" w:eastAsia="微软雅黑"/>
          <w:spacing w:val="-6"/>
          <w:sz w:val="18"/>
        </w:rPr>
      </w:pPr>
    </w:p>
    <w:p>
      <w:pPr>
        <w:spacing w:line="360" w:lineRule="auto"/>
        <w:rPr>
          <w:sz w:val="24"/>
          <w:szCs w:val="24"/>
        </w:rPr>
      </w:pPr>
    </w:p>
    <w:sectPr>
      <w:headerReference r:id="rId12" w:type="first"/>
      <w:footerReference r:id="rId15" w:type="first"/>
      <w:headerReference r:id="rId10" w:type="default"/>
      <w:footerReference r:id="rId13" w:type="default"/>
      <w:headerReference r:id="rId11" w:type="even"/>
      <w:footerReference r:id="rId1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2"/>
        <w:between w:val="single" w:color="4F81BD" w:sz="4" w:space="1"/>
      </w:pBdr>
      <w:spacing w:line="276" w:lineRule="auto"/>
      <w:rPr>
        <w:rFonts w:eastAsia="微软雅黑"/>
      </w:rPr>
    </w:pPr>
    <w:r>
      <w:rPr>
        <w:rFonts w:hint="eastAsia" w:eastAsia="微软雅黑"/>
      </w:rPr>
      <w:t xml:space="preserve">中国社会科学院研究生院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2"/>
        <w:between w:val="single" w:color="4F81BD" w:sz="4" w:space="1"/>
      </w:pBdr>
      <w:spacing w:line="276" w:lineRule="auto"/>
      <w:rPr>
        <w:rFonts w:eastAsia="微软雅黑"/>
      </w:rPr>
    </w:pPr>
    <w:r>
      <w:rPr>
        <w:rFonts w:hint="eastAsia" w:eastAsia="微软雅黑"/>
      </w:rPr>
      <w:t xml:space="preserve">中国社会科学院研究生院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2DA2AC"/>
    <w:multiLevelType w:val="singleLevel"/>
    <w:tmpl w:val="A72DA2AC"/>
    <w:lvl w:ilvl="0" w:tentative="0">
      <w:start w:val="3"/>
      <w:numFmt w:val="chineseCounting"/>
      <w:suff w:val="space"/>
      <w:lvlText w:val="(%1)"/>
      <w:lvlJc w:val="left"/>
      <w:rPr>
        <w:rFonts w:hint="eastAsia"/>
      </w:rPr>
    </w:lvl>
  </w:abstractNum>
  <w:abstractNum w:abstractNumId="1">
    <w:nsid w:val="58CB46A4"/>
    <w:multiLevelType w:val="singleLevel"/>
    <w:tmpl w:val="58CB46A4"/>
    <w:lvl w:ilvl="0" w:tentative="0">
      <w:start w:val="1"/>
      <w:numFmt w:val="chineseCounting"/>
      <w:suff w:val="nothing"/>
      <w:lvlText w:val="%1．"/>
      <w:lvlJc w:val="left"/>
    </w:lvl>
  </w:abstractNum>
  <w:abstractNum w:abstractNumId="2">
    <w:nsid w:val="58CB4746"/>
    <w:multiLevelType w:val="singleLevel"/>
    <w:tmpl w:val="58CB4746"/>
    <w:lvl w:ilvl="0" w:tentative="0">
      <w:start w:val="3"/>
      <w:numFmt w:val="chineseCounting"/>
      <w:suff w:val="nothing"/>
      <w:lvlText w:val="%1．"/>
      <w:lvlJc w:val="left"/>
    </w:lvl>
  </w:abstractNum>
  <w:abstractNum w:abstractNumId="3">
    <w:nsid w:val="58CB478D"/>
    <w:multiLevelType w:val="singleLevel"/>
    <w:tmpl w:val="58CB478D"/>
    <w:lvl w:ilvl="0" w:tentative="0">
      <w:start w:val="1"/>
      <w:numFmt w:val="chineseCounting"/>
      <w:suff w:val="nothing"/>
      <w:lvlText w:val="（%1）"/>
      <w:lvlJc w:val="left"/>
    </w:lvl>
  </w:abstractNum>
  <w:abstractNum w:abstractNumId="4">
    <w:nsid w:val="58CB4D57"/>
    <w:multiLevelType w:val="singleLevel"/>
    <w:tmpl w:val="58CB4D57"/>
    <w:lvl w:ilvl="0" w:tentative="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4634B"/>
    <w:rsid w:val="000024A7"/>
    <w:rsid w:val="00027C4E"/>
    <w:rsid w:val="0008003F"/>
    <w:rsid w:val="000D3865"/>
    <w:rsid w:val="000D748B"/>
    <w:rsid w:val="001117F4"/>
    <w:rsid w:val="00113A11"/>
    <w:rsid w:val="00143A1C"/>
    <w:rsid w:val="0014634B"/>
    <w:rsid w:val="00161F10"/>
    <w:rsid w:val="00174921"/>
    <w:rsid w:val="00184C7C"/>
    <w:rsid w:val="001A030D"/>
    <w:rsid w:val="001B71F8"/>
    <w:rsid w:val="001E57FE"/>
    <w:rsid w:val="00236D72"/>
    <w:rsid w:val="00270ED3"/>
    <w:rsid w:val="0029313C"/>
    <w:rsid w:val="002B7F99"/>
    <w:rsid w:val="002C268D"/>
    <w:rsid w:val="002C6DC0"/>
    <w:rsid w:val="00321A2C"/>
    <w:rsid w:val="003C1AFF"/>
    <w:rsid w:val="00424E5F"/>
    <w:rsid w:val="00425DA8"/>
    <w:rsid w:val="0044684E"/>
    <w:rsid w:val="004505C7"/>
    <w:rsid w:val="00472F92"/>
    <w:rsid w:val="0048036D"/>
    <w:rsid w:val="00480A33"/>
    <w:rsid w:val="004816BD"/>
    <w:rsid w:val="004C0578"/>
    <w:rsid w:val="004C7B43"/>
    <w:rsid w:val="004D6270"/>
    <w:rsid w:val="00562AB3"/>
    <w:rsid w:val="005C748D"/>
    <w:rsid w:val="005D0319"/>
    <w:rsid w:val="005D564B"/>
    <w:rsid w:val="0060527F"/>
    <w:rsid w:val="00620A6D"/>
    <w:rsid w:val="006328D9"/>
    <w:rsid w:val="00682ADA"/>
    <w:rsid w:val="006A2C4E"/>
    <w:rsid w:val="006C3F81"/>
    <w:rsid w:val="00715C03"/>
    <w:rsid w:val="00735051"/>
    <w:rsid w:val="007440CF"/>
    <w:rsid w:val="0075568A"/>
    <w:rsid w:val="00786877"/>
    <w:rsid w:val="0084543E"/>
    <w:rsid w:val="008640E5"/>
    <w:rsid w:val="00872391"/>
    <w:rsid w:val="00875039"/>
    <w:rsid w:val="00875DDC"/>
    <w:rsid w:val="00893DDD"/>
    <w:rsid w:val="008B3667"/>
    <w:rsid w:val="00934771"/>
    <w:rsid w:val="00990A65"/>
    <w:rsid w:val="0099478D"/>
    <w:rsid w:val="00996A10"/>
    <w:rsid w:val="009A1050"/>
    <w:rsid w:val="009C0C23"/>
    <w:rsid w:val="00A33D84"/>
    <w:rsid w:val="00A47CDE"/>
    <w:rsid w:val="00A51D84"/>
    <w:rsid w:val="00A53BF8"/>
    <w:rsid w:val="00A576B7"/>
    <w:rsid w:val="00A663E4"/>
    <w:rsid w:val="00AA6513"/>
    <w:rsid w:val="00AC05D1"/>
    <w:rsid w:val="00AC6E0C"/>
    <w:rsid w:val="00AE5FA4"/>
    <w:rsid w:val="00AF3065"/>
    <w:rsid w:val="00AF4568"/>
    <w:rsid w:val="00B678AC"/>
    <w:rsid w:val="00BB56CA"/>
    <w:rsid w:val="00BD371C"/>
    <w:rsid w:val="00C2215F"/>
    <w:rsid w:val="00C7699E"/>
    <w:rsid w:val="00CA55F3"/>
    <w:rsid w:val="00CC460B"/>
    <w:rsid w:val="00CD3476"/>
    <w:rsid w:val="00CE45F3"/>
    <w:rsid w:val="00D56E03"/>
    <w:rsid w:val="00DE0F1F"/>
    <w:rsid w:val="00E339FB"/>
    <w:rsid w:val="00E367FF"/>
    <w:rsid w:val="00EA0276"/>
    <w:rsid w:val="00EB01DF"/>
    <w:rsid w:val="00EC5C4D"/>
    <w:rsid w:val="00ED5285"/>
    <w:rsid w:val="00EE5F15"/>
    <w:rsid w:val="00F16B96"/>
    <w:rsid w:val="00F233F6"/>
    <w:rsid w:val="00F624BB"/>
    <w:rsid w:val="00F94816"/>
    <w:rsid w:val="00FF4FDA"/>
    <w:rsid w:val="10B60FB1"/>
    <w:rsid w:val="3ED01B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themeColor="hyperlink"/>
      <w:u w:val="single"/>
    </w:rPr>
  </w:style>
  <w:style w:type="character" w:customStyle="1" w:styleId="10">
    <w:name w:val="页眉 Char"/>
    <w:basedOn w:val="7"/>
    <w:link w:val="4"/>
    <w:uiPriority w:val="99"/>
    <w:rPr>
      <w:sz w:val="18"/>
      <w:szCs w:val="18"/>
    </w:rPr>
  </w:style>
  <w:style w:type="character" w:customStyle="1" w:styleId="11">
    <w:name w:val="页脚 Char"/>
    <w:basedOn w:val="7"/>
    <w:link w:val="3"/>
    <w:uiPriority w:val="99"/>
    <w:rPr>
      <w:sz w:val="18"/>
      <w:szCs w:val="18"/>
    </w:rPr>
  </w:style>
  <w:style w:type="paragraph" w:customStyle="1" w:styleId="12">
    <w:name w:val="2"/>
    <w:uiPriority w:val="0"/>
    <w:rPr>
      <w:rFonts w:ascii="宋体" w:hAnsi="宋体" w:eastAsia="宋体" w:cs="Times New Roman"/>
      <w:sz w:val="18"/>
      <w:szCs w:val="18"/>
      <w:lang w:val="en-US" w:eastAsia="zh-CN" w:bidi="ar-SA"/>
    </w:rPr>
  </w:style>
  <w:style w:type="character" w:customStyle="1" w:styleId="13">
    <w:name w:val="批注框文本 Char"/>
    <w:basedOn w:val="7"/>
    <w:link w:val="2"/>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966449-75F6-465E-87D7-7AB3E9D746A1}">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17</Pages>
  <Words>1397</Words>
  <Characters>7965</Characters>
  <Lines>66</Lines>
  <Paragraphs>18</Paragraphs>
  <TotalTime>12</TotalTime>
  <ScaleCrop>false</ScaleCrop>
  <LinksUpToDate>false</LinksUpToDate>
  <CharactersWithSpaces>9344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2018-01-23T02:02:00Z</dcterms:created>
  <dc:creator>宋文强</dc:creator>
  <cp:lastModifiedBy>Administrator</cp:lastModifiedBy>
  <dcterms:modified xsi:type="dcterms:W3CDTF">2020-12-04T03:57:29Z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