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sz w:val="36"/>
        </w:rPr>
      </w:pPr>
      <w:r>
        <w:rPr>
          <w:rFonts w:hint="eastAsia" w:ascii="方正小标宋简体" w:hAnsi="仿宋" w:eastAsia="方正小标宋简体"/>
          <w:sz w:val="36"/>
        </w:rPr>
        <w:t>南开大学-滨海新区</w:t>
      </w:r>
    </w:p>
    <w:p>
      <w:pPr>
        <w:jc w:val="center"/>
        <w:rPr>
          <w:rFonts w:ascii="方正小标宋简体" w:hAnsi="仿宋" w:eastAsia="方正小标宋简体"/>
          <w:sz w:val="36"/>
        </w:rPr>
      </w:pPr>
      <w:r>
        <w:rPr>
          <w:rFonts w:hint="eastAsia" w:ascii="方正小标宋简体" w:hAnsi="仿宋" w:eastAsia="方正小标宋简体"/>
          <w:sz w:val="36"/>
        </w:rPr>
        <w:t>中小企业产业领袖高级精品研修班</w:t>
      </w:r>
    </w:p>
    <w:p>
      <w:pPr>
        <w:ind w:firstLine="480"/>
        <w:rPr>
          <w:rFonts w:ascii="仿宋" w:hAnsi="仿宋" w:eastAsia="仿宋"/>
          <w:sz w:val="24"/>
        </w:rPr>
      </w:pPr>
    </w:p>
    <w:p>
      <w:pPr>
        <w:outlineLvl w:val="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一、项目目的：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贯彻落实习近平新时代中国特色主义经济思想，落实国家工业和信息化部《促进中小企业发展规划（2016－2020年）》、天津市《关于营造企业家创业发展良好环境的规定》（津党发「2017」49号）、进一步牢固树立“产业第一、企业家老大”的理念，落实天津市企业家培养工程，提升民营企业家群体综合素质和经营管理水平，着重培养30名优秀的滨海新区中小企业家。</w:t>
      </w:r>
    </w:p>
    <w:p>
      <w:pPr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</w:p>
    <w:p>
      <w:pPr>
        <w:outlineLvl w:val="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二、项目时间进度安排：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学员30人，学制6个月，学时20天，学习时间2018年5月-2018年9月，；</w:t>
      </w:r>
      <w:r>
        <w:rPr>
          <w:rFonts w:ascii="仿宋" w:hAnsi="仿宋" w:eastAsia="仿宋"/>
          <w:sz w:val="24"/>
        </w:rPr>
        <w:t xml:space="preserve"> </w:t>
      </w:r>
    </w:p>
    <w:p>
      <w:pPr>
        <w:rPr>
          <w:rFonts w:ascii="仿宋" w:hAnsi="仿宋" w:eastAsia="仿宋"/>
          <w:sz w:val="24"/>
        </w:rPr>
      </w:pPr>
    </w:p>
    <w:p>
      <w:pPr>
        <w:outlineLvl w:val="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三、培养方案：（详见附件“教学方案与师资”）</w:t>
      </w:r>
    </w:p>
    <w:tbl>
      <w:tblPr>
        <w:tblStyle w:val="3"/>
        <w:tblW w:w="860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3036"/>
        <w:gridCol w:w="2112"/>
        <w:gridCol w:w="13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时间</w:t>
            </w:r>
          </w:p>
        </w:tc>
        <w:tc>
          <w:tcPr>
            <w:tcW w:w="30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课程模块</w:t>
            </w:r>
          </w:p>
        </w:tc>
        <w:tc>
          <w:tcPr>
            <w:tcW w:w="2112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核心课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课时（天）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学习活动（天）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开学2018年4月</w:t>
            </w:r>
          </w:p>
        </w:tc>
        <w:tc>
          <w:tcPr>
            <w:tcW w:w="3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1、凝心聚力，扎根滨海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2018年4月、5月</w:t>
            </w:r>
          </w:p>
        </w:tc>
        <w:tc>
          <w:tcPr>
            <w:tcW w:w="3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2、宏观视野，战略创新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2018年6月、7月</w:t>
            </w:r>
          </w:p>
        </w:tc>
        <w:tc>
          <w:tcPr>
            <w:tcW w:w="3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3、工匠精神，智能制造 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2018年8月</w:t>
            </w:r>
          </w:p>
        </w:tc>
        <w:tc>
          <w:tcPr>
            <w:tcW w:w="30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4、文化自信，品牌制胜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5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结业2018年9月</w:t>
            </w:r>
          </w:p>
        </w:tc>
        <w:tc>
          <w:tcPr>
            <w:tcW w:w="303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5、产融结合，资本力量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13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结业以后（选修）</w:t>
            </w: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6、终身学习，日异月新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2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合计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14天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6天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jc w:val="left"/>
        <w:outlineLvl w:val="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四、项目执行与经费预算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学制安排：招生30人，5月开学10月结业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培训地点：南开大学</w:t>
      </w:r>
    </w:p>
    <w:p>
      <w:pPr>
        <w:pStyle w:val="5"/>
        <w:numPr>
          <w:ilvl w:val="0"/>
          <w:numId w:val="1"/>
        </w:numPr>
        <w:ind w:firstLineChars="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学费20000元／人，由承办单位南开大学收费；学费包含教学方案实施的相关费用，学员自行承担学习期间的交通食宿费用。滨海新区中小企业家参加学习，经滨海新区中小企业协会确认后，由政府提供学费补贴8000元。</w:t>
      </w:r>
    </w:p>
    <w:p>
      <w:pPr>
        <w:jc w:val="center"/>
        <w:rPr>
          <w:rFonts w:ascii="仿宋" w:hAnsi="仿宋" w:eastAsia="仿宋"/>
          <w:sz w:val="24"/>
        </w:rPr>
      </w:pPr>
    </w:p>
    <w:p>
      <w:pPr>
        <w:outlineLvl w:val="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五、项目成果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培养30名优秀的中小企业家；带动30家中小企业在细分行业成为领军企业；打造滨海新区中小企业干事创业的营商环境；激活滨海新区中小企业家作为学习型社会、创新型发展的核心力量。</w:t>
      </w:r>
    </w:p>
    <w:p>
      <w:pPr>
        <w:rPr>
          <w:rFonts w:ascii="仿宋" w:hAnsi="仿宋" w:eastAsia="仿宋"/>
          <w:sz w:val="24"/>
        </w:rPr>
      </w:pPr>
    </w:p>
    <w:p>
      <w:pPr>
        <w:outlineLvl w:val="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六、教学方案与师资</w:t>
      </w:r>
    </w:p>
    <w:p>
      <w:pPr>
        <w:outlineLvl w:val="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招生工作结束后，全体学员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第一模块 凝心聚力，扎根滨海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课程地点：天津拓展训练基地</w:t>
      </w:r>
    </w:p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5775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课程与活动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课时（天）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讲座——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《滨海新区中小企业发展战略与政策解读》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《京津冀一体化与中小企业发展机遇》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《挑战自我，熔炼团队——滨海企业家班级拓展》课程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南开大学专业教练带领学员走进体验式学习课程，以团队项目挑战、个人心智突破、团队穿越竞赛等课程，锻炼企业家精神与体魄，锻造团结高效的企业家学习班级体。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学习成果：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团结奋进的班级氛围，民主推举的领导班子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1．5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</w:t>
            </w:r>
          </w:p>
        </w:tc>
        <w:tc>
          <w:tcPr>
            <w:tcW w:w="5775" w:type="dxa"/>
          </w:tcPr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班级学习目标、主题与学习资源整合工作坊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确立班级学习目标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明确学员学习需求与课程重点需求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整合学习资源，优化学习资源配置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工作坊成果：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班级学习计划表与优化后的课程表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第二模块 宏观视野，战略创新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课程地点：天津</w:t>
      </w:r>
    </w:p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5775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课程与活动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课时（天）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《2018中国宏观经济分析与中小企业投资策略》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《中国区域经济格局与一带一路战略机遇》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《人工智能：起源、应用与前景》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《创新创业与新兴产业投资机遇》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《企业战略管理与执行沙盘》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一次浓缩版的商战，帮助企业家更全面地理解商业问题，如何获得竞争优势，如何把握投资机遇。并且，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体会不断从失败中学习、从问题中寻找答案的重要性。精彩课程将为所有企业家学员提供同场竞技的欢乐、迎难而上后的巨大收获！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第三模块 工业4.0，精益制造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课程地点：天津、成都</w:t>
      </w:r>
    </w:p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5775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课程与活动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课时（天）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《打造天津制造的工匠精神：以日本精益制造为例》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《迈向工业4.0——德国西门子数字化工厂全解读》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企业参访——西门子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走进西门子全球第二家数字化工厂，</w:t>
            </w:r>
            <w:r>
              <w:rPr>
                <w:rFonts w:ascii="仿宋" w:hAnsi="仿宋" w:eastAsia="仿宋"/>
                <w:sz w:val="24"/>
              </w:rPr>
              <w:t>西门子工业自动化产品成都生产研发基地</w:t>
            </w:r>
            <w:r>
              <w:rPr>
                <w:rFonts w:hint="eastAsia" w:ascii="仿宋" w:hAnsi="仿宋" w:eastAsia="仿宋"/>
                <w:sz w:val="24"/>
              </w:rPr>
              <w:t>。企业家将会结合课程所学，深入探究德国企业对工业4.0的构想与探索，为天津中小企业发展注入全球经验。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企业参访——英特尔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走进英特尔产品（成都）公司，参观“成都芯片组业务”，这里使用英特尔最先进的封装技术来组装芯片组；参观“成都微处理器业务”，它为世界各地的计算机生产微处理器。企业家学员与英特尔（中国）高层管理交流未来科技的发展，半导体领域的商业机遇。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第四模块 文化自信，品牌制胜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课程地点：天津、杭州</w:t>
      </w:r>
    </w:p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5775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577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课程与活动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课时（天）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《解读十九大报告：坚定文化自信，打造企业品牌》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《中小企业营销定位与品牌战略》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（选修）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中国产业文化考察：中国航天、中国核能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《中国航天精神与航天技术应用》，学习中国载人航天精神——“特别能吃苦、特别能战斗、特别能攻关、特别能奉献”，走进天津航天长征火箭制造基地，与航天人交流航天科技发展，军民产业融合，学习航天精神。</w:t>
            </w:r>
          </w:p>
          <w:p>
            <w:pPr>
              <w:pStyle w:val="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学习《中国核工业精神与核能产业开发》——“事业高于一切,责任重于一切,严细融入一切,进取成就一切” ，走进核工业理化工程研究院，这里始建于1964年，是我国唯一的铀同位素分离技术研究基地，是中国核工业发展、核能源应用的核心机构。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9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（选修）</w:t>
            </w:r>
          </w:p>
        </w:tc>
        <w:tc>
          <w:tcPr>
            <w:tcW w:w="5775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中国著名品牌考察：万事利、老板电器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杭州万事利丝绸文化股份有限公司专注于丝绸文化创意产业，并成为该领域的发展引领者，继上海APEC会议、北京奥运会、上海世博会、广州亚运会后，2016年9月，举世瞩目的G20杭州峰会上文化创意与高科技绽放出了中国丝绸的古老魅力。</w:t>
            </w:r>
          </w:p>
          <w:p>
            <w:pPr>
              <w:pStyle w:val="5"/>
              <w:widowControl/>
              <w:numPr>
                <w:ilvl w:val="0"/>
                <w:numId w:val="3"/>
              </w:numPr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始创于1979年的老板电器(股票代码：002508)，是中国厨房电器行业的领导者，也是迄今为止历史悠久的专业厨房电器品牌。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</w:tbl>
    <w:p>
      <w:pPr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第五模块 产融结合，资本力量</w:t>
      </w:r>
    </w:p>
    <w:p>
      <w:pPr>
        <w:jc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课程地点：天津、北京</w:t>
      </w:r>
    </w:p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7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课程与活动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课时（天）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《产融结合：中小企业资本运作与兼并重组策略》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（选修）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企业创新考察： 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ind w:left="0" w:firstLine="0"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走进中国冰雪运动第一品牌：金达威体育，聆听《体育产业中的商业创新》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走进京东方，探索中国半导体行业追赶国际先进水平的标杆案例。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京东方，中国半导体显示产业中技术水平、资产、盈利能力、产能、生产线数量等各方面的绝对龙头,在全国拥有11条半导体显示生产线，2017年全球首条最高世代线的标签花落京东方,意味着京东方已上升到比肩全球顶尖面板技术的水平。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</w:tr>
    </w:tbl>
    <w:p>
      <w:pPr>
        <w:jc w:val="center"/>
        <w:rPr>
          <w:rFonts w:ascii="仿宋" w:hAnsi="仿宋" w:eastAsia="仿宋"/>
          <w:kern w:val="0"/>
          <w:sz w:val="24"/>
        </w:rPr>
      </w:pPr>
    </w:p>
    <w:p>
      <w:pPr>
        <w:jc w:val="center"/>
        <w:rPr>
          <w:rFonts w:ascii="仿宋" w:hAnsi="仿宋" w:eastAsia="仿宋"/>
          <w:kern w:val="0"/>
          <w:sz w:val="24"/>
        </w:rPr>
      </w:pPr>
      <w:r>
        <w:rPr>
          <w:rFonts w:hint="eastAsia" w:ascii="仿宋" w:hAnsi="仿宋" w:eastAsia="仿宋"/>
          <w:kern w:val="0"/>
          <w:sz w:val="24"/>
        </w:rPr>
        <w:t>第六模块 终身学习，日异月新</w:t>
      </w:r>
    </w:p>
    <w:tbl>
      <w:tblPr>
        <w:tblStyle w:val="4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7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56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课程与活动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课时（天）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1、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定期开展滨海新区优秀企业相互学习、参访活动</w:t>
            </w:r>
          </w:p>
        </w:tc>
        <w:tc>
          <w:tcPr>
            <w:tcW w:w="1346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2、</w:t>
            </w:r>
          </w:p>
        </w:tc>
        <w:tc>
          <w:tcPr>
            <w:tcW w:w="5670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结业之后，组织学员开展游学考察活动，走进中国知名大学，开展跨地区的企业考察、管理课堂学习活动。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【核心课程师资】</w:t>
      </w:r>
    </w:p>
    <w:p>
      <w:p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邀请南开大学、清华大学等高校的教授专家、优秀企业家、权威专家学者担任课程主讲人，汇聚高端智力资源助力滨海新区企业家成长。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白长虹  南开大学高端继续教育（EDP）中心主任，南开大学商学院院长，历任旅游与服务学院创始院长,教授、博导,中国市场学会常务理事，中央电视台广告策略顾问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蔡丹红，杭州电子科大教授，浙商最受信赖的品牌策划师，长三角十大市场营销策划人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丁志国  吉林大学应用金融系副主任，教授、博导，CCTV-2《理财教室》主讲人，</w:t>
      </w:r>
      <w:r>
        <w:rPr>
          <w:rFonts w:ascii="仿宋" w:hAnsi="仿宋" w:eastAsia="仿宋"/>
          <w:sz w:val="24"/>
        </w:rPr>
        <w:t>教育部“新世纪”优秀人才</w:t>
      </w:r>
      <w:r>
        <w:rPr>
          <w:rFonts w:hint="eastAsia" w:ascii="仿宋" w:hAnsi="仿宋" w:eastAsia="仿宋"/>
          <w:sz w:val="24"/>
        </w:rPr>
        <w:t>，长春市“突出贡献”专家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高明华  北京师范大学公司治理与企业发展研究中心主任、国家社科基金重大项目首席专家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侯  杰，南开大学城市文化研究院副院长、中国近代史教研室主任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吕  鹏，中国社会科学院副研究员、中国社会科学院私营企业主群体研究中心秘书长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戴金平，南开大学国家经济战略研究院副院长，国际经济研究所所长，原南开大学金融工程学院副院长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高  翔，西门子数字化工厂集团及过程工业与驱动集团业务发展部总经理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刘  刚，南开大学滨海开发研究院院长，南开大学经济研究所所长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石  鉴，副教授，中国哲学社会科学管理创新研究中心副主任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石凤波，中山大学管理学院副教授，日本筑波大学管理科学与工程博士学位， 何氏基金教学优秀一等奖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孙旭群，畅研企业管理咨询公司总经理，历任BMGI大中华区副总裁及首席顾问Black&amp;Decker 亚洲采购中心六西格玛及质量的执行负责人。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田利辉，南开大学金融发展研究院院长，教育部青年长江学者，执业律师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周立群，原天津经济学会会长，南开大学经济学院院长</w:t>
      </w:r>
    </w:p>
    <w:p>
      <w:pPr>
        <w:spacing w:line="360" w:lineRule="auto"/>
        <w:ind w:firstLine="484" w:firstLineChars="20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周志强，中宣部《中国图书评论》杂志主编，南开大学东方审美文化研究中心主任，语文教育研究中心主任</w:t>
      </w:r>
    </w:p>
    <w:p/>
    <w:p/>
    <w:p/>
    <w:tbl>
      <w:tblPr>
        <w:tblStyle w:val="3"/>
        <w:tblpPr w:leftFromText="181" w:rightFromText="181" w:vertAnchor="text" w:horzAnchor="margin" w:tblpXSpec="center" w:tblpY="148"/>
        <w:tblOverlap w:val="never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92"/>
        <w:gridCol w:w="948"/>
        <w:gridCol w:w="2387"/>
        <w:gridCol w:w="1283"/>
        <w:gridCol w:w="1057"/>
        <w:gridCol w:w="121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2694" w:type="dxa"/>
            <w:gridSpan w:val="3"/>
            <w:tcBorders>
              <w:top w:val="outset" w:color="auto" w:sz="12" w:space="0"/>
              <w:left w:val="outset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姓    名</w:t>
            </w:r>
          </w:p>
        </w:tc>
        <w:tc>
          <w:tcPr>
            <w:tcW w:w="2387" w:type="dxa"/>
            <w:tcBorders>
              <w:top w:val="outset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outset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出生年月</w:t>
            </w:r>
          </w:p>
        </w:tc>
        <w:tc>
          <w:tcPr>
            <w:tcW w:w="1057" w:type="dxa"/>
            <w:tcBorders>
              <w:top w:val="outset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top w:val="outset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籍　贯</w:t>
            </w:r>
          </w:p>
        </w:tc>
        <w:tc>
          <w:tcPr>
            <w:tcW w:w="1260" w:type="dxa"/>
            <w:tcBorders>
              <w:top w:val="outset" w:color="auto" w:sz="12" w:space="0"/>
              <w:left w:val="single" w:color="auto" w:sz="4" w:space="0"/>
              <w:bottom w:val="single" w:color="auto" w:sz="4" w:space="0"/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2694" w:type="dxa"/>
            <w:gridSpan w:val="3"/>
            <w:tcBorders>
              <w:top w:val="single" w:color="auto" w:sz="4" w:space="0"/>
              <w:left w:val="outset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kern w:val="10"/>
                <w:sz w:val="24"/>
              </w:rPr>
            </w:pPr>
            <w:r>
              <w:rPr>
                <w:rFonts w:hint="eastAsia" w:ascii="宋体" w:hAnsi="宋体" w:eastAsia="宋体"/>
                <w:b/>
                <w:spacing w:val="22"/>
                <w:kern w:val="10"/>
                <w:sz w:val="24"/>
              </w:rPr>
              <w:t>身份证号</w:t>
            </w:r>
            <w:r>
              <w:rPr>
                <w:rFonts w:hint="eastAsia" w:ascii="宋体" w:hAnsi="宋体" w:eastAsia="宋体"/>
                <w:b/>
                <w:spacing w:val="2"/>
                <w:kern w:val="10"/>
                <w:sz w:val="24"/>
              </w:rPr>
              <w:t>码</w:t>
            </w:r>
          </w:p>
        </w:tc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学历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专　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2694" w:type="dxa"/>
            <w:gridSpan w:val="3"/>
            <w:tcBorders>
              <w:top w:val="single" w:color="auto" w:sz="4" w:space="0"/>
              <w:left w:val="outset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通讯地址</w:t>
            </w:r>
          </w:p>
        </w:tc>
        <w:tc>
          <w:tcPr>
            <w:tcW w:w="47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邮　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2694" w:type="dxa"/>
            <w:gridSpan w:val="3"/>
            <w:tcBorders>
              <w:top w:val="single" w:color="auto" w:sz="4" w:space="0"/>
              <w:left w:val="outset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联系电话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手 机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694" w:type="dxa"/>
            <w:gridSpan w:val="3"/>
            <w:tcBorders>
              <w:top w:val="single" w:color="auto" w:sz="4" w:space="0"/>
              <w:left w:val="outset" w:color="auto" w:sz="12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电子邮件</w:t>
            </w:r>
          </w:p>
        </w:tc>
        <w:tc>
          <w:tcPr>
            <w:tcW w:w="3670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传 真</w:t>
            </w:r>
          </w:p>
        </w:tc>
        <w:tc>
          <w:tcPr>
            <w:tcW w:w="2478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outset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454" w:type="dxa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企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业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资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料</w:t>
            </w:r>
          </w:p>
        </w:tc>
        <w:tc>
          <w:tcPr>
            <w:tcW w:w="124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单位名称</w:t>
            </w:r>
          </w:p>
        </w:tc>
        <w:tc>
          <w:tcPr>
            <w:tcW w:w="472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18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职 务</w:t>
            </w:r>
          </w:p>
        </w:tc>
        <w:tc>
          <w:tcPr>
            <w:tcW w:w="1260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454" w:type="dxa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通信地址</w:t>
            </w:r>
          </w:p>
        </w:tc>
        <w:tc>
          <w:tcPr>
            <w:tcW w:w="7205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454" w:type="dxa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员工人数</w:t>
            </w:r>
          </w:p>
        </w:tc>
        <w:tc>
          <w:tcPr>
            <w:tcW w:w="2387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主营业务</w:t>
            </w:r>
          </w:p>
        </w:tc>
        <w:tc>
          <w:tcPr>
            <w:tcW w:w="35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54" w:type="dxa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邮政编码</w:t>
            </w:r>
          </w:p>
        </w:tc>
        <w:tc>
          <w:tcPr>
            <w:tcW w:w="2387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1283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公司网址</w:t>
            </w:r>
          </w:p>
        </w:tc>
        <w:tc>
          <w:tcPr>
            <w:tcW w:w="35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</w:trPr>
        <w:tc>
          <w:tcPr>
            <w:tcW w:w="1454" w:type="dxa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  <w:tc>
          <w:tcPr>
            <w:tcW w:w="8445" w:type="dxa"/>
            <w:gridSpan w:val="7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Arial"/>
                <w:b/>
                <w:sz w:val="24"/>
              </w:rPr>
              <w:t>企业性质：□股份公司   □国有企业   □民营企业   □个人独资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46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>建议要求</w:t>
            </w:r>
          </w:p>
        </w:tc>
        <w:tc>
          <w:tcPr>
            <w:tcW w:w="8153" w:type="dxa"/>
            <w:gridSpan w:val="6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899" w:type="dxa"/>
            <w:gridSpan w:val="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是否老学员：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sym w:font="Wingdings" w:char="F0A8"/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是    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sym w:font="Wingdings" w:char="F0A8"/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否        </w:t>
            </w:r>
            <w:r>
              <w:rPr>
                <w:rFonts w:hint="eastAsia" w:ascii="宋体" w:hAnsi="宋体" w:eastAsia="宋体"/>
                <w:b/>
                <w:bCs/>
                <w:color w:val="999999"/>
                <w:sz w:val="24"/>
              </w:rPr>
              <w:t>入学时间:    年  月     班名: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899" w:type="dxa"/>
            <w:gridSpan w:val="8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</w:rPr>
              <w:t xml:space="preserve">申请人签名：                                  </w:t>
            </w:r>
            <w:r>
              <w:rPr>
                <w:rFonts w:hint="eastAsia" w:ascii="宋体" w:hAnsi="宋体" w:eastAsia="宋体"/>
                <w:b/>
                <w:bCs/>
                <w:color w:val="999999"/>
                <w:sz w:val="24"/>
              </w:rPr>
              <w:t xml:space="preserve"> 年    月    日</w:t>
            </w:r>
          </w:p>
        </w:tc>
      </w:tr>
    </w:tbl>
    <w:p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AAF"/>
    <w:multiLevelType w:val="multilevel"/>
    <w:tmpl w:val="163A6AA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6E59B7"/>
    <w:multiLevelType w:val="multilevel"/>
    <w:tmpl w:val="3A6E59B7"/>
    <w:lvl w:ilvl="0" w:tentative="0">
      <w:start w:val="1"/>
      <w:numFmt w:val="bullet"/>
      <w:lvlText w:val=""/>
      <w:lvlJc w:val="left"/>
      <w:pPr>
        <w:ind w:left="480" w:hanging="48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2">
    <w:nsid w:val="60723917"/>
    <w:multiLevelType w:val="multilevel"/>
    <w:tmpl w:val="6072391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93A0483"/>
    <w:multiLevelType w:val="multilevel"/>
    <w:tmpl w:val="793A048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B7"/>
    <w:rsid w:val="00455BEB"/>
    <w:rsid w:val="00520A49"/>
    <w:rsid w:val="00546F3C"/>
    <w:rsid w:val="005D0411"/>
    <w:rsid w:val="006A4805"/>
    <w:rsid w:val="00996A31"/>
    <w:rsid w:val="00B5077B"/>
    <w:rsid w:val="00CE5F6F"/>
    <w:rsid w:val="00F862DA"/>
    <w:rsid w:val="00FA61B7"/>
    <w:rsid w:val="126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500</Words>
  <Characters>2850</Characters>
  <Lines>23</Lines>
  <Paragraphs>6</Paragraphs>
  <TotalTime>0</TotalTime>
  <ScaleCrop>false</ScaleCrop>
  <LinksUpToDate>false</LinksUpToDate>
  <CharactersWithSpaces>3344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2018-03-01T06:37:00Z</dcterms:created>
  <dc:creator>Microsoft Office 用户</dc:creator>
  <cp:lastModifiedBy>郭朋云</cp:lastModifiedBy>
  <dcterms:modified xsi:type="dcterms:W3CDTF">2018-06-27T02:08:38Z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