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7C" w:rsidRDefault="00A12E5B" w:rsidP="009812F3">
      <w:pPr>
        <w:ind w:firstLineChars="300" w:firstLine="1560"/>
        <w:rPr>
          <w:rFonts w:ascii="微软雅黑" w:eastAsia="微软雅黑" w:hAnsi="微软雅黑" w:cs="微软雅黑"/>
          <w:b/>
          <w:bCs/>
          <w:color w:val="7030A0"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bCs/>
          <w:color w:val="7030A0"/>
          <w:sz w:val="52"/>
          <w:szCs w:val="52"/>
        </w:rPr>
        <w:t>紫荆商界领袖培育计划</w:t>
      </w:r>
    </w:p>
    <w:p w:rsidR="00E0607C" w:rsidRDefault="00A12E5B" w:rsidP="009812F3">
      <w:pPr>
        <w:ind w:firstLineChars="1200" w:firstLine="3600"/>
        <w:rPr>
          <w:rFonts w:ascii="微软雅黑" w:eastAsia="微软雅黑" w:hAnsi="微软雅黑" w:cs="微软雅黑"/>
          <w:b/>
          <w:bCs/>
          <w:color w:val="000000" w:themeColor="text1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i/>
          <w:iCs/>
          <w:color w:val="FF0000"/>
          <w:sz w:val="30"/>
          <w:szCs w:val="30"/>
        </w:rPr>
        <w:t>上市</w:t>
      </w:r>
      <w:r w:rsidR="009812F3">
        <w:rPr>
          <w:rFonts w:ascii="微软雅黑" w:eastAsia="微软雅黑" w:hAnsi="微软雅黑" w:cs="微软雅黑" w:hint="eastAsia"/>
          <w:b/>
          <w:bCs/>
          <w:i/>
          <w:iCs/>
          <w:color w:val="FF0000"/>
          <w:sz w:val="30"/>
          <w:szCs w:val="30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 w:val="30"/>
          <w:szCs w:val="30"/>
        </w:rPr>
        <w:t>直通车</w:t>
      </w:r>
      <w:r w:rsidR="009812F3">
        <w:rPr>
          <w:rFonts w:ascii="微软雅黑" w:eastAsia="微软雅黑" w:hAnsi="微软雅黑" w:cs="微软雅黑" w:hint="eastAsia"/>
          <w:b/>
          <w:bCs/>
          <w:color w:val="000000" w:themeColor="text1"/>
          <w:sz w:val="30"/>
          <w:szCs w:val="30"/>
        </w:rPr>
        <w:t xml:space="preserve"> 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color w:val="4472C4" w:themeColor="accent5"/>
          <w:sz w:val="28"/>
          <w:szCs w:val="28"/>
        </w:rPr>
        <w:t>一、项目背景：</w:t>
      </w:r>
    </w:p>
    <w:p w:rsidR="00E0607C" w:rsidRDefault="00A12E5B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国家“十三五”规划顺利实施以来，中国经济建设取得重大成就。如何把握国家战略机遇？如何应对不断变化的环境？如何借用资本力量助力企业发展？从现代经济发展趋势来看，上市、并购、重组是企业做大做强的重要方法和途径。在完善主板市场，积极发展创业板、新三板、</w:t>
      </w:r>
      <w:proofErr w:type="gramStart"/>
      <w:r>
        <w:rPr>
          <w:rFonts w:ascii="微软雅黑" w:eastAsia="微软雅黑" w:hAnsi="微软雅黑" w:cs="微软雅黑" w:hint="eastAsia"/>
          <w:sz w:val="24"/>
        </w:rPr>
        <w:t>科创板</w:t>
      </w:r>
      <w:proofErr w:type="gramEnd"/>
      <w:r>
        <w:rPr>
          <w:rFonts w:ascii="微软雅黑" w:eastAsia="微软雅黑" w:hAnsi="微软雅黑" w:cs="微软雅黑" w:hint="eastAsia"/>
          <w:sz w:val="24"/>
        </w:rPr>
        <w:t>的政策指导下，各行业优秀企业将通过上市、并购、重组获得再次发展腾飞的机会。作为优秀企业家应该把握时代脉搏，培养资本运作思维，掌握资本工具，借用资本力量，打造顶级创新型企业，成为商界领袖。</w:t>
      </w:r>
    </w:p>
    <w:p w:rsidR="00E0607C" w:rsidRDefault="00A12E5B" w:rsidP="009812F3">
      <w:pPr>
        <w:spacing w:beforeLines="50" w:before="156"/>
        <w:rPr>
          <w:rFonts w:ascii="微软雅黑" w:eastAsia="微软雅黑" w:hAnsi="微软雅黑" w:cs="微软雅黑"/>
          <w:b/>
          <w:bCs/>
          <w:color w:val="4472C4" w:themeColor="accent5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4472C4" w:themeColor="accent5"/>
          <w:sz w:val="28"/>
          <w:szCs w:val="28"/>
        </w:rPr>
        <w:t>二、合作机构：</w:t>
      </w:r>
    </w:p>
    <w:p w:rsidR="00E0607C" w:rsidRDefault="00A12E5B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《紫荆商界领袖培育计划—上市直通车》联合宏时资本、红杉资本、IDG                         资本、九鼎投资管理集团、启迪控股、京师律师事务所、立信会计师事务所、中信证券等机构；邀请清华、北大等高校知名教授和学术泰斗，共同培育优秀企业家</w:t>
      </w:r>
      <w:proofErr w:type="gramStart"/>
      <w:r>
        <w:rPr>
          <w:rFonts w:ascii="微软雅黑" w:eastAsia="微软雅黑" w:hAnsi="微软雅黑" w:cs="微软雅黑" w:hint="eastAsia"/>
          <w:sz w:val="24"/>
        </w:rPr>
        <w:t>成为商届</w:t>
      </w:r>
      <w:proofErr w:type="gramEnd"/>
      <w:r>
        <w:rPr>
          <w:rFonts w:ascii="微软雅黑" w:eastAsia="微软雅黑" w:hAnsi="微软雅黑" w:cs="微软雅黑" w:hint="eastAsia"/>
          <w:sz w:val="24"/>
        </w:rPr>
        <w:t>领袖，为企业家搭建企业</w:t>
      </w:r>
      <w:proofErr w:type="gramStart"/>
      <w:r>
        <w:rPr>
          <w:rFonts w:ascii="微软雅黑" w:eastAsia="微软雅黑" w:hAnsi="微软雅黑" w:cs="微软雅黑" w:hint="eastAsia"/>
          <w:sz w:val="24"/>
        </w:rPr>
        <w:t>上市及投融</w:t>
      </w:r>
      <w:proofErr w:type="gramEnd"/>
      <w:r>
        <w:rPr>
          <w:rFonts w:ascii="微软雅黑" w:eastAsia="微软雅黑" w:hAnsi="微软雅黑" w:cs="微软雅黑" w:hint="eastAsia"/>
          <w:sz w:val="24"/>
        </w:rPr>
        <w:t>资的</w:t>
      </w:r>
      <w:proofErr w:type="gramStart"/>
      <w:r>
        <w:rPr>
          <w:rFonts w:ascii="微软雅黑" w:eastAsia="微软雅黑" w:hAnsi="微软雅黑" w:cs="微软雅黑" w:hint="eastAsia"/>
          <w:sz w:val="24"/>
        </w:rPr>
        <w:t>高端</w:t>
      </w:r>
      <w:proofErr w:type="gramEnd"/>
      <w:r>
        <w:rPr>
          <w:rFonts w:ascii="微软雅黑" w:eastAsia="微软雅黑" w:hAnsi="微软雅黑" w:cs="微软雅黑" w:hint="eastAsia"/>
          <w:sz w:val="24"/>
        </w:rPr>
        <w:t>商学平台。将学员企业打造</w:t>
      </w:r>
      <w:proofErr w:type="gramStart"/>
      <w:r>
        <w:rPr>
          <w:rFonts w:ascii="微软雅黑" w:eastAsia="微软雅黑" w:hAnsi="微软雅黑" w:cs="微软雅黑" w:hint="eastAsia"/>
          <w:sz w:val="24"/>
        </w:rPr>
        <w:t>成具备</w:t>
      </w:r>
      <w:proofErr w:type="gramEnd"/>
      <w:r>
        <w:rPr>
          <w:rFonts w:ascii="微软雅黑" w:eastAsia="微软雅黑" w:hAnsi="微软雅黑" w:cs="微软雅黑" w:hint="eastAsia"/>
          <w:sz w:val="24"/>
        </w:rPr>
        <w:t>超强竞争力的上市公司；并为公司并购、重组提供全流程的服务。</w:t>
      </w:r>
    </w:p>
    <w:p w:rsidR="00E0607C" w:rsidRDefault="00A12E5B" w:rsidP="009812F3">
      <w:pPr>
        <w:spacing w:beforeLines="50" w:before="156"/>
        <w:rPr>
          <w:rFonts w:ascii="微软雅黑" w:eastAsia="微软雅黑" w:hAnsi="微软雅黑" w:cs="微软雅黑"/>
          <w:b/>
          <w:bCs/>
          <w:color w:val="4472C4" w:themeColor="accent5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4472C4" w:themeColor="accent5"/>
          <w:sz w:val="28"/>
          <w:szCs w:val="28"/>
        </w:rPr>
        <w:t>三、课程特色：</w:t>
      </w:r>
    </w:p>
    <w:p w:rsidR="00E0607C" w:rsidRDefault="00A12E5B">
      <w:pPr>
        <w:numPr>
          <w:ilvl w:val="0"/>
          <w:numId w:val="1"/>
        </w:numPr>
        <w:ind w:hanging="5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sz w:val="24"/>
        </w:rPr>
        <w:t>企业战略规划</w:t>
      </w:r>
      <w:r>
        <w:rPr>
          <w:rFonts w:ascii="微软雅黑" w:eastAsia="微软雅黑" w:hAnsi="微软雅黑" w:cs="微软雅黑" w:hint="eastAsia"/>
          <w:sz w:val="24"/>
        </w:rPr>
        <w:t>：</w:t>
      </w:r>
      <w:r>
        <w:rPr>
          <w:rFonts w:ascii="微软雅黑" w:eastAsia="微软雅黑" w:hAnsi="微软雅黑" w:cs="微软雅黑"/>
          <w:sz w:val="24"/>
        </w:rPr>
        <w:t>认清当前经济形势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/>
          <w:sz w:val="24"/>
        </w:rPr>
        <w:t>企业发展现状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/>
          <w:sz w:val="24"/>
        </w:rPr>
        <w:t>做好企业战略规划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:rsidR="00E0607C" w:rsidRDefault="00A12E5B">
      <w:pPr>
        <w:numPr>
          <w:ilvl w:val="0"/>
          <w:numId w:val="1"/>
        </w:numPr>
        <w:ind w:hanging="5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上市直通车：规划上市途径、指导企业上市融资并购、市值管理。</w:t>
      </w:r>
    </w:p>
    <w:p w:rsidR="00E0607C" w:rsidRDefault="00A12E5B">
      <w:pPr>
        <w:numPr>
          <w:ilvl w:val="0"/>
          <w:numId w:val="1"/>
        </w:numPr>
        <w:ind w:hanging="5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金融力建设：量身打造适合企业发展的投、融资决策方案。</w:t>
      </w:r>
    </w:p>
    <w:p w:rsidR="00E0607C" w:rsidRDefault="00A12E5B">
      <w:pPr>
        <w:numPr>
          <w:ilvl w:val="0"/>
          <w:numId w:val="1"/>
        </w:numPr>
        <w:ind w:hanging="5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导师负责制：导师了解、点评学员企业，指导解决企业投融资系列问题。</w:t>
      </w:r>
    </w:p>
    <w:p w:rsidR="00E0607C" w:rsidRDefault="00A12E5B">
      <w:pPr>
        <w:numPr>
          <w:ilvl w:val="0"/>
          <w:numId w:val="1"/>
        </w:numPr>
        <w:ind w:hanging="5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上市资源对接：广泛结交企业上市各环节人脉与知名企业家</w:t>
      </w:r>
      <w:proofErr w:type="gramStart"/>
      <w:r>
        <w:rPr>
          <w:rFonts w:ascii="微软雅黑" w:eastAsia="微软雅黑" w:hAnsi="微软雅黑" w:cs="微软雅黑" w:hint="eastAsia"/>
          <w:sz w:val="24"/>
        </w:rPr>
        <w:t>分享商道人</w:t>
      </w:r>
      <w:proofErr w:type="gramEnd"/>
      <w:r>
        <w:rPr>
          <w:rFonts w:ascii="微软雅黑" w:eastAsia="微软雅黑" w:hAnsi="微软雅黑" w:cs="微软雅黑" w:hint="eastAsia"/>
          <w:sz w:val="24"/>
        </w:rPr>
        <w:t>生。</w:t>
      </w:r>
    </w:p>
    <w:p w:rsidR="00E0607C" w:rsidRDefault="00A12E5B">
      <w:pPr>
        <w:numPr>
          <w:ilvl w:val="0"/>
          <w:numId w:val="1"/>
        </w:numPr>
        <w:ind w:hanging="5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新颖落地课：以上市全流程为主线、专题讲授+案例分析+提问答疑。</w:t>
      </w:r>
    </w:p>
    <w:p w:rsidR="00E0607C" w:rsidRDefault="00A12E5B" w:rsidP="009812F3">
      <w:pPr>
        <w:spacing w:beforeLines="50" w:before="156"/>
        <w:rPr>
          <w:rFonts w:ascii="微软雅黑" w:eastAsia="微软雅黑" w:hAnsi="微软雅黑" w:cs="微软雅黑"/>
          <w:b/>
          <w:bCs/>
          <w:color w:val="4472C4" w:themeColor="accent5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4472C4" w:themeColor="accent5"/>
          <w:sz w:val="28"/>
          <w:szCs w:val="28"/>
        </w:rPr>
        <w:t>四、培养目标：</w:t>
      </w:r>
    </w:p>
    <w:p w:rsidR="00E0607C" w:rsidRDefault="00A12E5B">
      <w:pPr>
        <w:numPr>
          <w:ilvl w:val="0"/>
          <w:numId w:val="2"/>
        </w:numPr>
        <w:ind w:hanging="5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建立资本思维，掌握资本工具，培育优质企业登陆资本市场。</w:t>
      </w:r>
    </w:p>
    <w:p w:rsidR="00E0607C" w:rsidRDefault="00A12E5B">
      <w:pPr>
        <w:numPr>
          <w:ilvl w:val="0"/>
          <w:numId w:val="2"/>
        </w:numPr>
        <w:ind w:hanging="5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打造优质企业成为上市公司并购标的。</w:t>
      </w:r>
    </w:p>
    <w:p w:rsidR="00E0607C" w:rsidRDefault="00A12E5B">
      <w:pPr>
        <w:numPr>
          <w:ilvl w:val="0"/>
          <w:numId w:val="2"/>
        </w:numPr>
        <w:ind w:hanging="5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为企业作好战略规划与发展布局，以上市公司标准重铸企业。</w:t>
      </w:r>
    </w:p>
    <w:p w:rsidR="00E0607C" w:rsidRDefault="00A12E5B" w:rsidP="009812F3">
      <w:pPr>
        <w:spacing w:beforeLines="50" w:before="156"/>
        <w:rPr>
          <w:rFonts w:ascii="微软雅黑" w:eastAsia="微软雅黑" w:hAnsi="微软雅黑" w:cs="微软雅黑"/>
          <w:b/>
          <w:bCs/>
          <w:color w:val="4472C4" w:themeColor="accent5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4472C4" w:themeColor="accent5"/>
          <w:sz w:val="28"/>
          <w:szCs w:val="28"/>
        </w:rPr>
        <w:t>五、课程设置：</w:t>
      </w:r>
    </w:p>
    <w:p w:rsidR="00E0607C" w:rsidRDefault="00A12E5B">
      <w:pPr>
        <w:numPr>
          <w:ilvl w:val="0"/>
          <w:numId w:val="3"/>
        </w:num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新时代下企业上市战略规划与定位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宏观经济与政策解读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新经济时代企业资本市场战略顶层设计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/>
          <w:sz w:val="24"/>
        </w:rPr>
        <w:t>.企业资本战略路径选择与上市计划制定</w:t>
      </w:r>
    </w:p>
    <w:p w:rsidR="00E0607C" w:rsidRDefault="00A12E5B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收获：针对学员企业战略进行分析和诊断</w:t>
      </w:r>
    </w:p>
    <w:p w:rsidR="00E0607C" w:rsidRDefault="00A12E5B" w:rsidP="009812F3">
      <w:pPr>
        <w:numPr>
          <w:ilvl w:val="0"/>
          <w:numId w:val="3"/>
        </w:numPr>
        <w:spacing w:beforeLines="50" w:before="156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新商业模式与商业思维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打破思维壁垒，重构商业模式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互联网+时代的商业模式创新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金融、资本驱动商业模式创新</w:t>
      </w:r>
    </w:p>
    <w:p w:rsidR="00E0607C" w:rsidRDefault="00A12E5B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收获：对学员企业商业模式重新梳理</w:t>
      </w:r>
    </w:p>
    <w:p w:rsidR="00E0607C" w:rsidRDefault="00A12E5B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3、多地域、多层次资本市场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/>
          <w:sz w:val="24"/>
        </w:rPr>
        <w:t>.A股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/>
          <w:sz w:val="24"/>
        </w:rPr>
        <w:t>港股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/>
          <w:sz w:val="24"/>
        </w:rPr>
        <w:t>美股等各类资本市场现状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/>
          <w:sz w:val="24"/>
        </w:rPr>
        <w:t>未来发展趋势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sz w:val="24"/>
        </w:rPr>
        <w:t>2.主板</w:t>
      </w:r>
      <w:r>
        <w:rPr>
          <w:rFonts w:ascii="微软雅黑" w:eastAsia="微软雅黑" w:hAnsi="微软雅黑" w:cs="微软雅黑" w:hint="eastAsia"/>
          <w:sz w:val="24"/>
        </w:rPr>
        <w:t>、</w:t>
      </w:r>
      <w:proofErr w:type="gramStart"/>
      <w:r>
        <w:rPr>
          <w:rFonts w:ascii="微软雅黑" w:eastAsia="微软雅黑" w:hAnsi="微软雅黑" w:cs="微软雅黑"/>
          <w:sz w:val="24"/>
        </w:rPr>
        <w:t>科创板</w:t>
      </w:r>
      <w:proofErr w:type="gramEnd"/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/>
          <w:sz w:val="24"/>
        </w:rPr>
        <w:t>新三板资本市场概论及挂牌条件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/>
          <w:sz w:val="24"/>
        </w:rPr>
        <w:t>.香港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/>
          <w:sz w:val="24"/>
        </w:rPr>
        <w:t>美国上市操作实务</w:t>
      </w:r>
    </w:p>
    <w:p w:rsidR="00E0607C" w:rsidRDefault="00A12E5B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/>
          <w:color w:val="FF0000"/>
          <w:sz w:val="24"/>
        </w:rPr>
        <w:t>收获</w:t>
      </w:r>
      <w:r>
        <w:rPr>
          <w:rFonts w:ascii="微软雅黑" w:eastAsia="微软雅黑" w:hAnsi="微软雅黑" w:cs="微软雅黑" w:hint="eastAsia"/>
          <w:color w:val="FF0000"/>
          <w:sz w:val="24"/>
        </w:rPr>
        <w:t>：</w:t>
      </w:r>
      <w:r>
        <w:rPr>
          <w:rFonts w:ascii="微软雅黑" w:eastAsia="微软雅黑" w:hAnsi="微软雅黑" w:cs="微软雅黑"/>
          <w:color w:val="FF0000"/>
          <w:sz w:val="24"/>
        </w:rPr>
        <w:t>了解国内外各级资本市场</w:t>
      </w:r>
      <w:r>
        <w:rPr>
          <w:rFonts w:ascii="微软雅黑" w:eastAsia="微软雅黑" w:hAnsi="微软雅黑" w:cs="微软雅黑" w:hint="eastAsia"/>
          <w:color w:val="FF0000"/>
          <w:sz w:val="24"/>
        </w:rPr>
        <w:t>，</w:t>
      </w:r>
      <w:r>
        <w:rPr>
          <w:rFonts w:ascii="微软雅黑" w:eastAsia="微软雅黑" w:hAnsi="微软雅黑" w:cs="微软雅黑"/>
          <w:color w:val="FF0000"/>
          <w:sz w:val="24"/>
        </w:rPr>
        <w:t>为企业选择上市路径及场所提供必要的知识与指导方</w:t>
      </w:r>
      <w:r>
        <w:rPr>
          <w:rFonts w:ascii="微软雅黑" w:eastAsia="微软雅黑" w:hAnsi="微软雅黑" w:cs="微软雅黑"/>
          <w:color w:val="FF0000"/>
          <w:sz w:val="24"/>
        </w:rPr>
        <w:lastRenderedPageBreak/>
        <w:t>向</w:t>
      </w:r>
    </w:p>
    <w:p w:rsidR="00E0607C" w:rsidRDefault="00A12E5B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4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、拟上市企业的资本协同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股权融资、债券融资操作实务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股权激励机制构建与实施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公司治理及估值并购重组</w:t>
      </w:r>
    </w:p>
    <w:p w:rsidR="00E0607C" w:rsidRDefault="00A12E5B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收获：了解股权融资、债权融资操作方法，以及合理利用股权激励提高公司业绩</w:t>
      </w:r>
    </w:p>
    <w:p w:rsidR="00E0607C" w:rsidRDefault="00A12E5B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5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、股改方案与上市准备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公司股改难点与方法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上市前的企业财务战略、税务筹划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上市前规范运作与法律法规解读</w:t>
      </w:r>
    </w:p>
    <w:p w:rsidR="00E0607C" w:rsidRDefault="00A12E5B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收获：指导学员清晰公司上市前股改难点与方法，制定财务战略，做好税收筹划，了解上市相关的法律法规</w:t>
      </w:r>
    </w:p>
    <w:p w:rsidR="00E0607C" w:rsidRDefault="00A12E5B" w:rsidP="009812F3">
      <w:pPr>
        <w:spacing w:beforeLines="50" w:before="156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sz w:val="28"/>
          <w:szCs w:val="28"/>
        </w:rPr>
        <w:t>6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、IPO全流程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企业上市标准、上市流程解读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协助上市合作机构的甄别与选择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当前IPO成功案例分析</w:t>
      </w:r>
    </w:p>
    <w:p w:rsidR="00E0607C" w:rsidRDefault="00A12E5B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收获：全面掌握企业IPO的整个过程，正确选择上市时券商、律师事务所等合作机构，帮助企业解决上市过程中可能面临的实际问题，助力企业顺利上市。</w:t>
      </w:r>
    </w:p>
    <w:p w:rsidR="00E0607C" w:rsidRDefault="00A12E5B" w:rsidP="009812F3">
      <w:pPr>
        <w:spacing w:beforeLines="50" w:before="156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7、上市公司市值管理与企业价值塑造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市值管理意义和必要性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影响上市公司市值的重要因素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sz w:val="24"/>
        </w:rPr>
        <w:t>3.</w:t>
      </w:r>
      <w:r>
        <w:rPr>
          <w:rFonts w:ascii="微软雅黑" w:eastAsia="微软雅黑" w:hAnsi="微软雅黑" w:cs="微软雅黑" w:hint="eastAsia"/>
          <w:sz w:val="24"/>
        </w:rPr>
        <w:t>市值管理的主要方法</w:t>
      </w:r>
    </w:p>
    <w:p w:rsidR="00E0607C" w:rsidRDefault="00A12E5B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lastRenderedPageBreak/>
        <w:t>收获：了解影响上市公司市值的重要因素，市值管理的主要常见方法</w:t>
      </w:r>
    </w:p>
    <w:p w:rsidR="00E0607C" w:rsidRDefault="00A12E5B" w:rsidP="009812F3">
      <w:pPr>
        <w:spacing w:beforeLines="50" w:before="156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8、</w:t>
      </w:r>
      <w:proofErr w:type="gramStart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科创板</w:t>
      </w:r>
      <w:proofErr w:type="gramEnd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上市操作实务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/>
          <w:sz w:val="24"/>
        </w:rPr>
        <w:t>.</w:t>
      </w:r>
      <w:proofErr w:type="gramStart"/>
      <w:r>
        <w:rPr>
          <w:rFonts w:ascii="微软雅黑" w:eastAsia="微软雅黑" w:hAnsi="微软雅黑" w:cs="微软雅黑" w:hint="eastAsia"/>
          <w:sz w:val="24"/>
        </w:rPr>
        <w:t>科创板拟</w:t>
      </w:r>
      <w:proofErr w:type="gramEnd"/>
      <w:r>
        <w:rPr>
          <w:rFonts w:ascii="微软雅黑" w:eastAsia="微软雅黑" w:hAnsi="微软雅黑" w:cs="微软雅黑" w:hint="eastAsia"/>
          <w:sz w:val="24"/>
        </w:rPr>
        <w:t>上市公司的行业条件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sz w:val="24"/>
        </w:rPr>
        <w:t>2.</w:t>
      </w:r>
      <w:proofErr w:type="gramStart"/>
      <w:r>
        <w:rPr>
          <w:rFonts w:ascii="微软雅黑" w:eastAsia="微软雅黑" w:hAnsi="微软雅黑" w:cs="微软雅黑" w:hint="eastAsia"/>
          <w:sz w:val="24"/>
        </w:rPr>
        <w:t>科创板</w:t>
      </w:r>
      <w:proofErr w:type="gramEnd"/>
      <w:r>
        <w:rPr>
          <w:rFonts w:ascii="微软雅黑" w:eastAsia="微软雅黑" w:hAnsi="微软雅黑" w:cs="微软雅黑" w:hint="eastAsia"/>
          <w:sz w:val="24"/>
        </w:rPr>
        <w:t>上市的基础打造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/>
          <w:sz w:val="24"/>
        </w:rPr>
        <w:t>.</w:t>
      </w:r>
      <w:proofErr w:type="gramStart"/>
      <w:r>
        <w:rPr>
          <w:rFonts w:ascii="微软雅黑" w:eastAsia="微软雅黑" w:hAnsi="微软雅黑" w:cs="微软雅黑" w:hint="eastAsia"/>
          <w:sz w:val="24"/>
        </w:rPr>
        <w:t>科创板</w:t>
      </w:r>
      <w:proofErr w:type="gramEnd"/>
      <w:r>
        <w:rPr>
          <w:rFonts w:ascii="微软雅黑" w:eastAsia="微软雅黑" w:hAnsi="微软雅黑" w:cs="微软雅黑" w:hint="eastAsia"/>
          <w:sz w:val="24"/>
        </w:rPr>
        <w:t>上市的具体条件</w:t>
      </w:r>
    </w:p>
    <w:p w:rsidR="00E0607C" w:rsidRDefault="00A12E5B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收获：具体了解</w:t>
      </w:r>
      <w:proofErr w:type="gramStart"/>
      <w:r>
        <w:rPr>
          <w:rFonts w:ascii="微软雅黑" w:eastAsia="微软雅黑" w:hAnsi="微软雅黑" w:cs="微软雅黑" w:hint="eastAsia"/>
          <w:color w:val="FF0000"/>
          <w:sz w:val="24"/>
        </w:rPr>
        <w:t>科创板</w:t>
      </w:r>
      <w:proofErr w:type="gramEnd"/>
      <w:r>
        <w:rPr>
          <w:rFonts w:ascii="微软雅黑" w:eastAsia="微软雅黑" w:hAnsi="微软雅黑" w:cs="微软雅黑" w:hint="eastAsia"/>
          <w:color w:val="FF0000"/>
          <w:sz w:val="24"/>
        </w:rPr>
        <w:t>上市具体规则与条件</w:t>
      </w:r>
    </w:p>
    <w:p w:rsidR="00E0607C" w:rsidRDefault="00A12E5B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9、商道伦理与企业家精神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/>
          <w:sz w:val="24"/>
        </w:rPr>
        <w:t>.儒家文化经典精神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/>
          <w:sz w:val="24"/>
        </w:rPr>
        <w:t>.家族企业传承与</w:t>
      </w:r>
      <w:r>
        <w:rPr>
          <w:rFonts w:ascii="微软雅黑" w:eastAsia="微软雅黑" w:hAnsi="微软雅黑" w:cs="微软雅黑" w:hint="eastAsia"/>
          <w:sz w:val="24"/>
        </w:rPr>
        <w:t>基业长青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毛泽东领导艺术与管理之道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</w:t>
      </w:r>
      <w:r>
        <w:rPr>
          <w:rFonts w:ascii="微软雅黑" w:eastAsia="微软雅黑" w:hAnsi="微软雅黑" w:cs="微软雅黑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国际知名商学院游学</w:t>
      </w:r>
    </w:p>
    <w:p w:rsidR="00E0607C" w:rsidRDefault="00A12E5B">
      <w:p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收获：升华企业家精神与社会责任感</w:t>
      </w:r>
    </w:p>
    <w:p w:rsidR="00E0607C" w:rsidRDefault="00A12E5B" w:rsidP="009812F3">
      <w:pPr>
        <w:numPr>
          <w:ilvl w:val="0"/>
          <w:numId w:val="4"/>
        </w:numPr>
        <w:spacing w:beforeLines="50" w:before="156"/>
        <w:rPr>
          <w:rFonts w:ascii="微软雅黑" w:eastAsia="微软雅黑" w:hAnsi="微软雅黑" w:cs="微软雅黑"/>
          <w:b/>
          <w:bCs/>
          <w:color w:val="4472C4" w:themeColor="accent5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4472C4" w:themeColor="accent5"/>
          <w:sz w:val="28"/>
          <w:szCs w:val="28"/>
        </w:rPr>
        <w:t>部分拟邀导师：</w:t>
      </w:r>
    </w:p>
    <w:p w:rsidR="00E0607C" w:rsidRDefault="00A12E5B">
      <w:pPr>
        <w:rPr>
          <w:rFonts w:ascii="微软雅黑" w:eastAsia="微软雅黑" w:hAnsi="微软雅黑" w:cs="微软雅黑"/>
          <w:color w:val="FF0000"/>
          <w:szCs w:val="21"/>
        </w:rPr>
      </w:pPr>
      <w:r>
        <w:rPr>
          <w:rFonts w:ascii="微软雅黑" w:eastAsia="微软雅黑" w:hAnsi="微软雅黑" w:cs="微软雅黑" w:hint="eastAsia"/>
          <w:color w:val="FF0000"/>
          <w:szCs w:val="21"/>
        </w:rPr>
        <w:t>注：讲师排名不分先后，拟邀师资如有变动，以最新通知为准。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李稻葵：</w:t>
      </w:r>
      <w:r>
        <w:rPr>
          <w:rFonts w:ascii="微软雅黑" w:eastAsia="微软雅黑" w:hAnsi="微软雅黑" w:cs="微软雅黑" w:hint="eastAsia"/>
          <w:sz w:val="24"/>
        </w:rPr>
        <w:t>清华大学经济管理学院教授，清华大学中国与世界经济研究中心主任，中国人民银行货币政策委员会委员。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b/>
          <w:bCs/>
          <w:sz w:val="24"/>
        </w:rPr>
        <w:t>姚景源</w:t>
      </w:r>
      <w:r>
        <w:rPr>
          <w:rFonts w:ascii="微软雅黑" w:eastAsia="微软雅黑" w:hAnsi="微软雅黑" w:cs="微软雅黑" w:hint="eastAsia"/>
          <w:sz w:val="24"/>
        </w:rPr>
        <w:t>：</w:t>
      </w:r>
      <w:r>
        <w:rPr>
          <w:rFonts w:ascii="微软雅黑" w:eastAsia="微软雅黑" w:hAnsi="微软雅黑" w:cs="微软雅黑"/>
          <w:sz w:val="24"/>
        </w:rPr>
        <w:t>著名经济学家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/>
          <w:sz w:val="24"/>
        </w:rPr>
        <w:t>国务院参事特约研究员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王永利：</w:t>
      </w:r>
      <w:r>
        <w:rPr>
          <w:rFonts w:ascii="微软雅黑" w:eastAsia="微软雅黑" w:hAnsi="微软雅黑" w:cs="微软雅黑" w:hint="eastAsia"/>
          <w:sz w:val="24"/>
        </w:rPr>
        <w:t>中国银行原副行长、执行董事，中国国际期货公司副董事长、中国人民大学国际货币研究所学术委员，中国金融科技50任论坛高级学术顾问。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金占明：</w:t>
      </w:r>
      <w:r>
        <w:rPr>
          <w:rFonts w:ascii="微软雅黑" w:eastAsia="微软雅黑" w:hAnsi="微软雅黑" w:cs="微软雅黑" w:hint="eastAsia"/>
          <w:sz w:val="24"/>
        </w:rPr>
        <w:t>清华大学经济管理学院教授，博士后、企业管理系副主任，主要从事市场营销与战略管理的教学和研究工作。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b/>
          <w:bCs/>
          <w:sz w:val="24"/>
        </w:rPr>
        <w:t>钟</w:t>
      </w:r>
      <w:r>
        <w:rPr>
          <w:rFonts w:ascii="微软雅黑" w:eastAsia="微软雅黑" w:hAnsi="微软雅黑" w:cs="微软雅黑" w:hint="eastAsia"/>
          <w:b/>
          <w:bCs/>
          <w:sz w:val="24"/>
        </w:rPr>
        <w:t>鹏</w:t>
      </w:r>
      <w:r>
        <w:rPr>
          <w:rFonts w:ascii="微软雅黑" w:eastAsia="微软雅黑" w:hAnsi="微软雅黑" w:cs="微软雅黑"/>
          <w:b/>
          <w:bCs/>
          <w:sz w:val="24"/>
        </w:rPr>
        <w:t>荣</w:t>
      </w:r>
      <w:r>
        <w:rPr>
          <w:rFonts w:ascii="微软雅黑" w:eastAsia="微软雅黑" w:hAnsi="微软雅黑" w:cs="微软雅黑" w:hint="eastAsia"/>
          <w:sz w:val="24"/>
        </w:rPr>
        <w:t>：国务院政策研究机构资深经济学家，经济学硕士、历史学博士，国学专家；中</w:t>
      </w:r>
      <w:r>
        <w:rPr>
          <w:rFonts w:ascii="微软雅黑" w:eastAsia="微软雅黑" w:hAnsi="微软雅黑" w:cs="微软雅黑" w:hint="eastAsia"/>
          <w:sz w:val="24"/>
        </w:rPr>
        <w:lastRenderedPageBreak/>
        <w:t>国人民大学商界领袖学堂教授、博士生导师，北京大学经济学院研究员。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魏  杰：</w:t>
      </w:r>
      <w:r>
        <w:rPr>
          <w:rFonts w:ascii="微软雅黑" w:eastAsia="微软雅黑" w:hAnsi="微软雅黑" w:cs="微软雅黑" w:hint="eastAsia"/>
          <w:sz w:val="24"/>
        </w:rPr>
        <w:t>清华大学经管学院创新创业与战略系教授、清华同方讲席教授、博士后导师。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杜  兵：</w:t>
      </w:r>
      <w:proofErr w:type="gramStart"/>
      <w:r>
        <w:rPr>
          <w:rFonts w:ascii="微软雅黑" w:eastAsia="微软雅黑" w:hAnsi="微软雅黑" w:cs="微软雅黑" w:hint="eastAsia"/>
          <w:sz w:val="24"/>
        </w:rPr>
        <w:t>主板发</w:t>
      </w:r>
      <w:proofErr w:type="gramEnd"/>
      <w:r>
        <w:rPr>
          <w:rFonts w:ascii="微软雅黑" w:eastAsia="微软雅黑" w:hAnsi="微软雅黑" w:cs="微软雅黑" w:hint="eastAsia"/>
          <w:sz w:val="24"/>
        </w:rPr>
        <w:t>审委员会委员，现任深圳宏时资本管理有限公司执行董事。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何茂春：</w:t>
      </w:r>
      <w:r>
        <w:rPr>
          <w:rFonts w:ascii="微软雅黑" w:eastAsia="微软雅黑" w:hAnsi="微软雅黑" w:cs="微软雅黑" w:hint="eastAsia"/>
          <w:sz w:val="24"/>
        </w:rPr>
        <w:t>清华大学社会可科学院国际关系学系教授、国务院参事、中国民主同盟中央委员，同盟中央经济委员会委员。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巴曙松：</w:t>
      </w:r>
      <w:r>
        <w:rPr>
          <w:rFonts w:ascii="微软雅黑" w:eastAsia="微软雅黑" w:hAnsi="微软雅黑" w:cs="微软雅黑" w:hint="eastAsia"/>
          <w:sz w:val="24"/>
        </w:rPr>
        <w:t>中国银行业协会首席经济学家，香港交易所首席中国经济学家，曾任国务院发展研究中心金融研究所副所长。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熊新翔：</w:t>
      </w:r>
      <w:r>
        <w:rPr>
          <w:rFonts w:ascii="微软雅黑" w:eastAsia="微软雅黑" w:hAnsi="微软雅黑" w:cs="微软雅黑" w:hint="eastAsia"/>
          <w:sz w:val="24"/>
        </w:rPr>
        <w:t>重庆市伯恩科技（集团）董事长兼CEO、重庆市工商联（总商会）副会长。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王功权：</w:t>
      </w:r>
      <w:proofErr w:type="gramStart"/>
      <w:r>
        <w:rPr>
          <w:rFonts w:ascii="微软雅黑" w:eastAsia="微软雅黑" w:hAnsi="微软雅黑" w:cs="微软雅黑" w:hint="eastAsia"/>
          <w:sz w:val="24"/>
        </w:rPr>
        <w:t>鼎晖创业</w:t>
      </w:r>
      <w:proofErr w:type="gramEnd"/>
      <w:r>
        <w:rPr>
          <w:rFonts w:ascii="微软雅黑" w:eastAsia="微软雅黑" w:hAnsi="微软雅黑" w:cs="微软雅黑" w:hint="eastAsia"/>
          <w:sz w:val="24"/>
        </w:rPr>
        <w:t>投资基金合伙人及创始人之一，1993年任万通事业集团董事局副主席、总裁兼美国万通公司董事长。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孙立平：</w:t>
      </w:r>
      <w:r>
        <w:rPr>
          <w:rFonts w:ascii="微软雅黑" w:eastAsia="微软雅黑" w:hAnsi="微软雅黑" w:cs="微软雅黑" w:hint="eastAsia"/>
          <w:sz w:val="24"/>
        </w:rPr>
        <w:t>著名社会学家，清华大学社会科学院社会学系教授、指导。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房西苑：</w:t>
      </w:r>
      <w:r>
        <w:rPr>
          <w:rFonts w:ascii="微软雅黑" w:eastAsia="微软雅黑" w:hAnsi="微软雅黑" w:cs="微软雅黑" w:hint="eastAsia"/>
          <w:sz w:val="24"/>
        </w:rPr>
        <w:t>国际投融资专家，北京大学国情研究中心研究员，北大教授。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sz w:val="24"/>
        </w:rPr>
        <w:t>樊</w:t>
      </w:r>
      <w:proofErr w:type="gramEnd"/>
      <w:r>
        <w:rPr>
          <w:rFonts w:ascii="微软雅黑" w:eastAsia="微软雅黑" w:hAnsi="微软雅黑" w:cs="微软雅黑" w:hint="eastAsia"/>
          <w:b/>
          <w:bCs/>
          <w:sz w:val="24"/>
        </w:rPr>
        <w:t xml:space="preserve">  纲：</w:t>
      </w:r>
      <w:r>
        <w:rPr>
          <w:rFonts w:ascii="微软雅黑" w:eastAsia="微软雅黑" w:hAnsi="微软雅黑" w:cs="微软雅黑" w:hint="eastAsia"/>
          <w:sz w:val="24"/>
        </w:rPr>
        <w:t>著名经济学家，中国经济变革研究基金会理事长，北京国民经济研究所所长，中国社会科学院教授。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魏  星：</w:t>
      </w:r>
      <w:r>
        <w:rPr>
          <w:rFonts w:ascii="微软雅黑" w:eastAsia="微软雅黑" w:hAnsi="微软雅黑" w:cs="微软雅黑" w:hint="eastAsia"/>
          <w:sz w:val="24"/>
        </w:rPr>
        <w:t>特许金融分析师（CFA），中信证券资产管理业务总监。银行合作模式的早期设计者之一。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徐  海：</w:t>
      </w:r>
      <w:r>
        <w:rPr>
          <w:rFonts w:ascii="微软雅黑" w:eastAsia="微软雅黑" w:hAnsi="微软雅黑" w:cs="微软雅黑" w:hint="eastAsia"/>
          <w:sz w:val="24"/>
        </w:rPr>
        <w:t>著名天使投资人易翎资本联合创始人、董事长兼总裁、商业模式专家。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周  立：</w:t>
      </w:r>
      <w:r>
        <w:rPr>
          <w:rFonts w:ascii="微软雅黑" w:eastAsia="微软雅黑" w:hAnsi="微软雅黑" w:cs="微软雅黑" w:hint="eastAsia"/>
          <w:sz w:val="24"/>
        </w:rPr>
        <w:t>著名财务、金融专家。现任清华大学经济管理学院会计系教授、研究员。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余维佳：</w:t>
      </w:r>
      <w:r>
        <w:rPr>
          <w:rFonts w:ascii="微软雅黑" w:eastAsia="微软雅黑" w:hAnsi="微软雅黑" w:cs="微软雅黑" w:hint="eastAsia"/>
          <w:sz w:val="24"/>
        </w:rPr>
        <w:t>中天国富证券董事长，毕业于天津大学，原西南证券总裁。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彭德强：</w:t>
      </w:r>
      <w:r>
        <w:rPr>
          <w:rFonts w:ascii="微软雅黑" w:eastAsia="微软雅黑" w:hAnsi="微软雅黑" w:cs="微软雅黑" w:hint="eastAsia"/>
          <w:sz w:val="24"/>
        </w:rPr>
        <w:t>并购与重组资本专家，中天国富证券投资银行部董事总经理保荐代表人。</w:t>
      </w:r>
    </w:p>
    <w:p w:rsidR="00E0607C" w:rsidRDefault="00A12E5B" w:rsidP="009812F3">
      <w:pPr>
        <w:spacing w:beforeLines="50" w:before="156"/>
        <w:rPr>
          <w:rFonts w:ascii="微软雅黑" w:eastAsia="微软雅黑" w:hAnsi="微软雅黑" w:cs="微软雅黑"/>
          <w:b/>
          <w:bCs/>
          <w:color w:val="4472C4" w:themeColor="accent5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4472C4" w:themeColor="accent5"/>
          <w:sz w:val="28"/>
          <w:szCs w:val="28"/>
        </w:rPr>
        <w:t>七、录取条件：</w:t>
      </w:r>
    </w:p>
    <w:p w:rsidR="00E0607C" w:rsidRDefault="00A12E5B">
      <w:pPr>
        <w:rPr>
          <w:rFonts w:ascii="微软雅黑" w:eastAsia="微软雅黑" w:hAnsi="微软雅黑" w:cs="微软雅黑"/>
          <w:b/>
          <w:bCs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满足以下任意一项即可申请：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①拟上市或上市公司董事长、总经理、董秘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②年营业额过亿或年净利过千万的企业董事长、总经理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③已融资规模千万以上的创新型企业董事长、总经理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④社会知名人士或对国家有突出贡献者可申请</w:t>
      </w:r>
    </w:p>
    <w:p w:rsidR="00E0607C" w:rsidRDefault="00A12E5B" w:rsidP="009812F3">
      <w:pPr>
        <w:numPr>
          <w:ilvl w:val="0"/>
          <w:numId w:val="5"/>
        </w:numPr>
        <w:spacing w:beforeLines="50" w:before="156"/>
        <w:rPr>
          <w:rFonts w:ascii="微软雅黑" w:eastAsia="微软雅黑" w:hAnsi="微软雅黑" w:cs="微软雅黑"/>
          <w:b/>
          <w:bCs/>
          <w:color w:val="4472C4" w:themeColor="accent5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4472C4" w:themeColor="accent5"/>
          <w:sz w:val="28"/>
          <w:szCs w:val="28"/>
        </w:rPr>
        <w:t>教学方式：</w:t>
      </w:r>
    </w:p>
    <w:p w:rsidR="00E0607C" w:rsidRDefault="00A12E5B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教学语言以中文为主，采用课堂讲授、案例研讨、管理实战分析、情境模拟、名家论坛、项目作业、企业访谈、移动课堂、境外考察等多种教学方式，鼓励教授与学员间的双向沟通和学员间的相互交流。</w:t>
      </w:r>
    </w:p>
    <w:p w:rsidR="00E0607C" w:rsidRDefault="00A12E5B">
      <w:pPr>
        <w:rPr>
          <w:rFonts w:ascii="微软雅黑" w:eastAsia="微软雅黑" w:hAnsi="微软雅黑" w:cs="微软雅黑"/>
          <w:b/>
          <w:bCs/>
          <w:color w:val="4472C4" w:themeColor="accent5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4472C4" w:themeColor="accent5"/>
          <w:sz w:val="28"/>
          <w:szCs w:val="28"/>
        </w:rPr>
        <w:t>九、课程收费：</w:t>
      </w:r>
    </w:p>
    <w:p w:rsidR="00E0607C" w:rsidRDefault="00A12E5B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29.8 万元（人民币）/人，包括听课费、讲义费、课间茶点费。不包括食宿、差旅及出国访学涉及的费用，每次</w:t>
      </w:r>
      <w:proofErr w:type="gramStart"/>
      <w:r>
        <w:rPr>
          <w:rFonts w:ascii="微软雅黑" w:eastAsia="微软雅黑" w:hAnsi="微软雅黑" w:cs="微软雅黑" w:hint="eastAsia"/>
          <w:sz w:val="24"/>
        </w:rPr>
        <w:t>课允许</w:t>
      </w:r>
      <w:proofErr w:type="gramEnd"/>
      <w:r>
        <w:rPr>
          <w:rFonts w:ascii="微软雅黑" w:eastAsia="微软雅黑" w:hAnsi="微软雅黑" w:cs="微软雅黑" w:hint="eastAsia"/>
          <w:sz w:val="24"/>
        </w:rPr>
        <w:t>带一位公司部门负责人参加。</w:t>
      </w:r>
    </w:p>
    <w:p w:rsidR="00E0607C" w:rsidRDefault="00A12E5B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学制一年半，每两个月上课一次，每次上课三天。</w:t>
      </w:r>
    </w:p>
    <w:p w:rsidR="00E0607C" w:rsidRDefault="00A12E5B" w:rsidP="009812F3">
      <w:pPr>
        <w:spacing w:beforeLines="50" w:before="156"/>
        <w:rPr>
          <w:rFonts w:ascii="微软雅黑" w:eastAsia="微软雅黑" w:hAnsi="微软雅黑" w:cs="微软雅黑"/>
          <w:b/>
          <w:bCs/>
          <w:color w:val="4472C4" w:themeColor="accent5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4472C4" w:themeColor="accent5"/>
          <w:sz w:val="28"/>
          <w:szCs w:val="28"/>
        </w:rPr>
        <w:t>十、授课地点：</w:t>
      </w:r>
    </w:p>
    <w:p w:rsidR="00E0607C" w:rsidRDefault="00A12E5B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清华</w:t>
      </w:r>
      <w:r w:rsidR="009812F3">
        <w:rPr>
          <w:rFonts w:ascii="微软雅黑" w:eastAsia="微软雅黑" w:hAnsi="微软雅黑" w:cs="微软雅黑" w:hint="eastAsia"/>
          <w:sz w:val="24"/>
        </w:rPr>
        <w:t>科技园</w:t>
      </w:r>
      <w:r>
        <w:rPr>
          <w:rFonts w:ascii="微软雅黑" w:eastAsia="微软雅黑" w:hAnsi="微软雅黑" w:cs="微软雅黑" w:hint="eastAsia"/>
          <w:sz w:val="24"/>
        </w:rPr>
        <w:t>＋移动课堂</w:t>
      </w:r>
    </w:p>
    <w:p w:rsidR="00E0607C" w:rsidRDefault="00A12E5B" w:rsidP="009812F3">
      <w:pPr>
        <w:numPr>
          <w:ilvl w:val="0"/>
          <w:numId w:val="6"/>
        </w:numPr>
        <w:spacing w:beforeLines="50" w:before="156"/>
        <w:rPr>
          <w:rFonts w:ascii="微软雅黑" w:eastAsia="微软雅黑" w:hAnsi="微软雅黑" w:cs="微软雅黑"/>
          <w:b/>
          <w:bCs/>
          <w:color w:val="4472C4" w:themeColor="accent5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4472C4" w:themeColor="accent5"/>
          <w:sz w:val="28"/>
          <w:szCs w:val="28"/>
        </w:rPr>
        <w:t>报名程序：</w:t>
      </w:r>
    </w:p>
    <w:p w:rsidR="00E0607C" w:rsidRDefault="00A12E5B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正式报名表一份+学历、学位证书复印件一式两份+有效身份证复印件+2寸近期正冠两张+两张现任职务名片。</w:t>
      </w:r>
    </w:p>
    <w:p w:rsidR="009812F3" w:rsidRDefault="009812F3">
      <w:pPr>
        <w:ind w:firstLineChars="200" w:firstLine="480"/>
        <w:rPr>
          <w:rFonts w:ascii="微软雅黑" w:eastAsia="微软雅黑" w:hAnsi="微软雅黑" w:cs="微软雅黑"/>
          <w:sz w:val="24"/>
        </w:rPr>
      </w:pPr>
    </w:p>
    <w:p w:rsidR="00E0607C" w:rsidRDefault="009812F3" w:rsidP="009812F3">
      <w:pPr>
        <w:ind w:firstLineChars="200" w:firstLine="402"/>
        <w:rPr>
          <w:rFonts w:ascii="microsoft yahei" w:hAnsi="microsoft yahei" w:hint="eastAsia"/>
          <w:b/>
          <w:bCs/>
          <w:color w:val="1A1A1A"/>
          <w:sz w:val="20"/>
          <w:szCs w:val="20"/>
          <w:shd w:val="clear" w:color="auto" w:fill="FFFFFF"/>
        </w:rPr>
      </w:pP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>【咨询电话】</w:t>
      </w:r>
      <w:r>
        <w:rPr>
          <w:rFonts w:ascii="microsoft yahei" w:hAnsi="microsoft yahei"/>
          <w:b/>
          <w:bCs/>
          <w:color w:val="1A1A1A"/>
          <w:sz w:val="20"/>
          <w:szCs w:val="20"/>
        </w:rPr>
        <w:br/>
      </w: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>全国统一免费热线：</w:t>
      </w: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>400-086-8596</w:t>
      </w: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>，电话：</w:t>
      </w: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 xml:space="preserve">010-62717852 </w:t>
      </w: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>传真：</w:t>
      </w:r>
      <w:r>
        <w:rPr>
          <w:rFonts w:ascii="microsoft yahei" w:hAnsi="microsoft yahei"/>
          <w:b/>
          <w:bCs/>
          <w:color w:val="1A1A1A"/>
          <w:sz w:val="20"/>
          <w:szCs w:val="20"/>
          <w:shd w:val="clear" w:color="auto" w:fill="FFFFFF"/>
        </w:rPr>
        <w:t>010-62719327</w:t>
      </w:r>
    </w:p>
    <w:p w:rsidR="009812F3" w:rsidRDefault="009812F3" w:rsidP="009812F3">
      <w:pPr>
        <w:ind w:firstLineChars="200" w:firstLine="402"/>
        <w:rPr>
          <w:rFonts w:ascii="microsoft yahei" w:hAnsi="microsoft yahei" w:hint="eastAsia"/>
          <w:b/>
          <w:bCs/>
          <w:color w:val="1A1A1A"/>
          <w:sz w:val="20"/>
          <w:szCs w:val="20"/>
          <w:shd w:val="clear" w:color="auto" w:fill="FFFFFF"/>
        </w:rPr>
      </w:pPr>
    </w:p>
    <w:p w:rsidR="009812F3" w:rsidRDefault="009812F3" w:rsidP="009812F3">
      <w:pPr>
        <w:ind w:firstLineChars="200" w:firstLine="402"/>
        <w:rPr>
          <w:rFonts w:ascii="microsoft yahei" w:hAnsi="microsoft yahei" w:hint="eastAsia"/>
          <w:b/>
          <w:bCs/>
          <w:color w:val="1A1A1A"/>
          <w:sz w:val="20"/>
          <w:szCs w:val="20"/>
          <w:shd w:val="clear" w:color="auto" w:fill="FFFFFF"/>
        </w:rPr>
      </w:pPr>
    </w:p>
    <w:p w:rsidR="009812F3" w:rsidRDefault="009812F3" w:rsidP="009812F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通用报名表</w:t>
      </w:r>
    </w:p>
    <w:p w:rsidR="009812F3" w:rsidRDefault="009812F3" w:rsidP="009812F3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1135"/>
        <w:gridCol w:w="1300"/>
        <w:gridCol w:w="2436"/>
      </w:tblGrid>
      <w:tr w:rsidR="009812F3" w:rsidTr="002E3313">
        <w:trPr>
          <w:trHeight w:val="456"/>
        </w:trPr>
        <w:tc>
          <w:tcPr>
            <w:tcW w:w="1217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课程全名</w:t>
            </w:r>
          </w:p>
        </w:tc>
        <w:tc>
          <w:tcPr>
            <w:tcW w:w="7305" w:type="dxa"/>
            <w:gridSpan w:val="5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</w:tr>
      <w:tr w:rsidR="009812F3" w:rsidTr="002E3313">
        <w:tc>
          <w:tcPr>
            <w:tcW w:w="1217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17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5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36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</w:tr>
      <w:tr w:rsidR="009812F3" w:rsidTr="002E3313">
        <w:tc>
          <w:tcPr>
            <w:tcW w:w="1217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17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35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436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</w:tr>
      <w:tr w:rsidR="009812F3" w:rsidTr="002E3313">
        <w:tc>
          <w:tcPr>
            <w:tcW w:w="1217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436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</w:tr>
      <w:tr w:rsidR="009812F3" w:rsidTr="002E3313">
        <w:tc>
          <w:tcPr>
            <w:tcW w:w="1217" w:type="dxa"/>
            <w:vMerge w:val="restart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217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352" w:type="dxa"/>
            <w:gridSpan w:val="2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36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</w:tr>
      <w:tr w:rsidR="009812F3" w:rsidTr="002E3313">
        <w:tc>
          <w:tcPr>
            <w:tcW w:w="1217" w:type="dxa"/>
            <w:vMerge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352" w:type="dxa"/>
            <w:gridSpan w:val="2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436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</w:tr>
      <w:tr w:rsidR="009812F3" w:rsidTr="002E3313">
        <w:tc>
          <w:tcPr>
            <w:tcW w:w="1217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  <w:tc>
          <w:tcPr>
            <w:tcW w:w="1135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</w:tcPr>
          <w:p w:rsidR="009812F3" w:rsidRDefault="009812F3" w:rsidP="002E3313">
            <w:pPr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29845</wp:posOffset>
                      </wp:positionV>
                      <wp:extent cx="124460" cy="123825"/>
                      <wp:effectExtent l="8255" t="10795" r="10160" b="825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9B032" id="矩形 3" o:spid="_x0000_s1026" style="position:absolute;left:0;text-align:left;margin-left:.65pt;margin-top:2.35pt;width:9.8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29845</wp:posOffset>
                      </wp:positionV>
                      <wp:extent cx="123825" cy="123825"/>
                      <wp:effectExtent l="8890" t="10795" r="10160" b="825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B417D" id="矩形 2" o:spid="_x0000_s1026" style="position:absolute;left:0;text-align:left;margin-left:59.95pt;margin-top:2.3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29845</wp:posOffset>
                      </wp:positionV>
                      <wp:extent cx="105410" cy="123825"/>
                      <wp:effectExtent l="8255" t="10795" r="10160" b="82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78A16" id="矩形 1" o:spid="_x0000_s1026" style="position:absolute;left:0;text-align:left;margin-left:118.4pt;margin-top:2.35pt;width:8.3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银行汇款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现今付款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电子转账</w:t>
            </w:r>
          </w:p>
        </w:tc>
      </w:tr>
      <w:tr w:rsidR="009812F3" w:rsidTr="002E3313">
        <w:tc>
          <w:tcPr>
            <w:tcW w:w="1217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7305" w:type="dxa"/>
            <w:gridSpan w:val="5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</w:tr>
      <w:tr w:rsidR="009812F3" w:rsidTr="002E3313">
        <w:tc>
          <w:tcPr>
            <w:tcW w:w="1217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569" w:type="dxa"/>
            <w:gridSpan w:val="3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436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</w:tr>
      <w:tr w:rsidR="009812F3" w:rsidTr="002E3313">
        <w:tc>
          <w:tcPr>
            <w:tcW w:w="1217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569" w:type="dxa"/>
            <w:gridSpan w:val="3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436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</w:tr>
      <w:tr w:rsidR="009812F3" w:rsidTr="002E3313">
        <w:tc>
          <w:tcPr>
            <w:tcW w:w="1217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569" w:type="dxa"/>
            <w:gridSpan w:val="3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436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</w:tr>
      <w:tr w:rsidR="009812F3" w:rsidTr="002E3313">
        <w:tc>
          <w:tcPr>
            <w:tcW w:w="1217" w:type="dxa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305" w:type="dxa"/>
            <w:gridSpan w:val="5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</w:tr>
      <w:tr w:rsidR="009812F3" w:rsidTr="002E3313">
        <w:tc>
          <w:tcPr>
            <w:tcW w:w="8522" w:type="dxa"/>
            <w:gridSpan w:val="6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工作简介</w:t>
            </w:r>
          </w:p>
        </w:tc>
      </w:tr>
      <w:tr w:rsidR="009812F3" w:rsidTr="002E3313">
        <w:trPr>
          <w:trHeight w:val="2425"/>
        </w:trPr>
        <w:tc>
          <w:tcPr>
            <w:tcW w:w="8522" w:type="dxa"/>
            <w:gridSpan w:val="6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</w:tr>
      <w:tr w:rsidR="009812F3" w:rsidTr="002E3313">
        <w:tc>
          <w:tcPr>
            <w:tcW w:w="8522" w:type="dxa"/>
            <w:gridSpan w:val="6"/>
          </w:tcPr>
          <w:p w:rsidR="009812F3" w:rsidRDefault="009812F3" w:rsidP="002E3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学习建议</w:t>
            </w:r>
          </w:p>
        </w:tc>
      </w:tr>
      <w:tr w:rsidR="009812F3" w:rsidTr="002E3313">
        <w:trPr>
          <w:trHeight w:val="2493"/>
        </w:trPr>
        <w:tc>
          <w:tcPr>
            <w:tcW w:w="8522" w:type="dxa"/>
            <w:gridSpan w:val="6"/>
          </w:tcPr>
          <w:p w:rsidR="009812F3" w:rsidRDefault="009812F3" w:rsidP="002E3313">
            <w:pPr>
              <w:jc w:val="left"/>
              <w:rPr>
                <w:szCs w:val="21"/>
              </w:rPr>
            </w:pPr>
          </w:p>
        </w:tc>
      </w:tr>
    </w:tbl>
    <w:p w:rsidR="009812F3" w:rsidRDefault="009812F3" w:rsidP="009812F3">
      <w:pPr>
        <w:jc w:val="left"/>
        <w:rPr>
          <w:szCs w:val="21"/>
        </w:rPr>
      </w:pPr>
    </w:p>
    <w:p w:rsidR="009812F3" w:rsidRDefault="009812F3" w:rsidP="009812F3">
      <w:pPr>
        <w:ind w:firstLineChars="200" w:firstLine="480"/>
        <w:rPr>
          <w:rFonts w:ascii="微软雅黑" w:eastAsia="微软雅黑" w:hAnsi="微软雅黑" w:cs="微软雅黑"/>
          <w:sz w:val="24"/>
        </w:rPr>
      </w:pPr>
    </w:p>
    <w:sectPr w:rsidR="009812F3">
      <w:headerReference w:type="default" r:id="rId8"/>
      <w:pgSz w:w="11906" w:h="16838"/>
      <w:pgMar w:top="1440" w:right="1406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CAB" w:rsidRDefault="00525CAB" w:rsidP="009812F3">
      <w:r>
        <w:separator/>
      </w:r>
    </w:p>
  </w:endnote>
  <w:endnote w:type="continuationSeparator" w:id="0">
    <w:p w:rsidR="00525CAB" w:rsidRDefault="00525CAB" w:rsidP="0098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CAB" w:rsidRDefault="00525CAB" w:rsidP="009812F3">
      <w:r>
        <w:separator/>
      </w:r>
    </w:p>
  </w:footnote>
  <w:footnote w:type="continuationSeparator" w:id="0">
    <w:p w:rsidR="00525CAB" w:rsidRDefault="00525CAB" w:rsidP="0098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2F3" w:rsidRDefault="009812F3" w:rsidP="009812F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E1676B"/>
    <w:multiLevelType w:val="singleLevel"/>
    <w:tmpl w:val="B8E167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BBBF4EFC"/>
    <w:multiLevelType w:val="singleLevel"/>
    <w:tmpl w:val="BBBF4EFC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C336DAEE"/>
    <w:multiLevelType w:val="singleLevel"/>
    <w:tmpl w:val="C336DAE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EAAF6FEA"/>
    <w:multiLevelType w:val="singleLevel"/>
    <w:tmpl w:val="EAAF6FE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115CC336"/>
    <w:multiLevelType w:val="singleLevel"/>
    <w:tmpl w:val="115CC336"/>
    <w:lvl w:ilvl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70C2434D"/>
    <w:multiLevelType w:val="singleLevel"/>
    <w:tmpl w:val="70C2434D"/>
    <w:lvl w:ilvl="0">
      <w:start w:val="8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8176BA"/>
    <w:rsid w:val="000654EC"/>
    <w:rsid w:val="0007027F"/>
    <w:rsid w:val="00086608"/>
    <w:rsid w:val="0035638C"/>
    <w:rsid w:val="003B76A9"/>
    <w:rsid w:val="003E189A"/>
    <w:rsid w:val="00462D41"/>
    <w:rsid w:val="00525CAB"/>
    <w:rsid w:val="005A0AF2"/>
    <w:rsid w:val="005B2B48"/>
    <w:rsid w:val="0068111F"/>
    <w:rsid w:val="006C4C25"/>
    <w:rsid w:val="00790591"/>
    <w:rsid w:val="007D3A36"/>
    <w:rsid w:val="008F1F83"/>
    <w:rsid w:val="00903435"/>
    <w:rsid w:val="00961F82"/>
    <w:rsid w:val="009812F3"/>
    <w:rsid w:val="00A12E5B"/>
    <w:rsid w:val="00AE51D7"/>
    <w:rsid w:val="00B44113"/>
    <w:rsid w:val="00C00201"/>
    <w:rsid w:val="00E0607C"/>
    <w:rsid w:val="00EC0B99"/>
    <w:rsid w:val="02AF0082"/>
    <w:rsid w:val="03571385"/>
    <w:rsid w:val="0E300A3D"/>
    <w:rsid w:val="1AB737DA"/>
    <w:rsid w:val="402659CD"/>
    <w:rsid w:val="4B4E7618"/>
    <w:rsid w:val="6815383B"/>
    <w:rsid w:val="6EDF6438"/>
    <w:rsid w:val="70C8679B"/>
    <w:rsid w:val="7581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3899D"/>
  <w15:docId w15:val="{EADC4BC6-18EF-47FD-B364-D93A9EC3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pPr>
      <w:ind w:firstLineChars="200" w:firstLine="420"/>
    </w:p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469</Words>
  <Characters>2676</Characters>
  <Application>Microsoft Office Word</Application>
  <DocSecurity>0</DocSecurity>
  <Lines>22</Lines>
  <Paragraphs>6</Paragraphs>
  <ScaleCrop>false</ScaleCrop>
  <Company>Microsoft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A史云成℡₁₃₅₅₂₅₂₂₁₅₄</dc:creator>
  <cp:lastModifiedBy> </cp:lastModifiedBy>
  <cp:revision>7</cp:revision>
  <dcterms:created xsi:type="dcterms:W3CDTF">2019-03-27T09:34:00Z</dcterms:created>
  <dcterms:modified xsi:type="dcterms:W3CDTF">2019-03-29T03:52:00Z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