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drawing>
          <wp:inline distT="0" distB="0" distL="114300" distR="114300">
            <wp:extent cx="4306570" cy="1043940"/>
            <wp:effectExtent l="0" t="0" r="17780" b="3810"/>
            <wp:docPr id="2" name="图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2"/>
                    <pic:cNvPicPr>
                      <a:picLocks noChangeAspect="1"/>
                    </pic:cNvPicPr>
                  </pic:nvPicPr>
                  <pic:blipFill>
                    <a:blip r:embed="rId5"/>
                    <a:stretch>
                      <a:fillRect/>
                    </a:stretch>
                  </pic:blipFill>
                  <pic:spPr>
                    <a:xfrm>
                      <a:off x="0" y="0"/>
                      <a:ext cx="4306570" cy="1043940"/>
                    </a:xfrm>
                    <a:prstGeom prst="rect">
                      <a:avLst/>
                    </a:prstGeom>
                  </pic:spPr>
                </pic:pic>
              </a:graphicData>
            </a:graphic>
          </wp:inline>
        </w:drawing>
      </w: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color w:val="auto"/>
          <w:sz w:val="21"/>
          <w:szCs w:val="21"/>
          <w:lang w:eastAsia="zh-CN"/>
        </w:rPr>
      </w:pPr>
    </w:p>
    <w:p>
      <w:pPr>
        <w:keepNext w:val="0"/>
        <w:keepLines w:val="0"/>
        <w:pageBreakBefore w:val="0"/>
        <w:kinsoku/>
        <w:wordWrap/>
        <w:overflowPunct/>
        <w:topLinePunct w:val="0"/>
        <w:autoSpaceDE/>
        <w:autoSpaceDN/>
        <w:bidi w:val="0"/>
        <w:adjustRightInd/>
        <w:spacing w:line="360" w:lineRule="auto"/>
        <w:ind w:left="2891" w:hanging="2891" w:hangingChars="900"/>
        <w:contextualSpacing/>
        <w:jc w:val="center"/>
        <w:textAlignment w:val="auto"/>
        <w:rPr>
          <w:rFonts w:hint="eastAsia" w:asciiTheme="minorEastAsia" w:hAnsiTheme="minorEastAsia" w:eastAsiaTheme="minorEastAsia" w:cstheme="minorEastAsia"/>
          <w:b/>
          <w:bCs w:val="0"/>
          <w:color w:val="auto"/>
          <w:sz w:val="32"/>
          <w:szCs w:val="32"/>
        </w:rPr>
      </w:pPr>
      <w:r>
        <w:rPr>
          <w:rFonts w:hint="eastAsia" w:asciiTheme="minorEastAsia" w:hAnsiTheme="minorEastAsia" w:eastAsiaTheme="minorEastAsia" w:cstheme="minorEastAsia"/>
          <w:b/>
          <w:bCs w:val="0"/>
          <w:color w:val="auto"/>
          <w:sz w:val="32"/>
          <w:szCs w:val="32"/>
          <w:lang w:val="en-US" w:eastAsia="zh-CN"/>
        </w:rPr>
        <w:t>上海对外经贸大学</w:t>
      </w:r>
      <w:bookmarkStart w:id="0" w:name="_GoBack"/>
      <w:r>
        <w:rPr>
          <w:rFonts w:hint="eastAsia" w:asciiTheme="minorEastAsia" w:hAnsiTheme="minorEastAsia" w:eastAsiaTheme="minorEastAsia" w:cstheme="minorEastAsia"/>
          <w:b/>
          <w:bCs w:val="0"/>
          <w:color w:val="auto"/>
          <w:sz w:val="32"/>
          <w:szCs w:val="32"/>
          <w:lang w:val="en-US" w:eastAsia="zh-CN"/>
        </w:rPr>
        <w:t>商务信息管理</w:t>
      </w:r>
      <w:bookmarkEnd w:id="0"/>
      <w:r>
        <w:rPr>
          <w:rFonts w:hint="eastAsia" w:asciiTheme="minorEastAsia" w:hAnsiTheme="minorEastAsia" w:eastAsiaTheme="minorEastAsia" w:cstheme="minorEastAsia"/>
          <w:b/>
          <w:bCs w:val="0"/>
          <w:color w:val="auto"/>
          <w:sz w:val="32"/>
          <w:szCs w:val="32"/>
          <w:lang w:val="en-US" w:eastAsia="zh-CN"/>
        </w:rPr>
        <w:t>专业</w:t>
      </w:r>
      <w:r>
        <w:rPr>
          <w:rFonts w:hint="eastAsia" w:asciiTheme="minorEastAsia" w:hAnsiTheme="minorEastAsia" w:eastAsiaTheme="minorEastAsia" w:cstheme="minorEastAsia"/>
          <w:b/>
          <w:bCs w:val="0"/>
          <w:color w:val="auto"/>
          <w:sz w:val="32"/>
          <w:szCs w:val="32"/>
        </w:rPr>
        <w:t>课程高级培训班</w:t>
      </w:r>
    </w:p>
    <w:p>
      <w:pPr>
        <w:keepNext w:val="0"/>
        <w:keepLines w:val="0"/>
        <w:pageBreakBefore w:val="0"/>
        <w:kinsoku/>
        <w:wordWrap/>
        <w:overflowPunct/>
        <w:topLinePunct w:val="0"/>
        <w:autoSpaceDE/>
        <w:autoSpaceDN/>
        <w:bidi w:val="0"/>
        <w:adjustRightInd/>
        <w:spacing w:line="360" w:lineRule="auto"/>
        <w:ind w:firstLine="3534" w:firstLineChars="1100"/>
        <w:contextualSpacing/>
        <w:jc w:val="both"/>
        <w:textAlignment w:val="auto"/>
        <w:rPr>
          <w:rFonts w:hint="eastAsia" w:asciiTheme="minorEastAsia" w:hAnsiTheme="minorEastAsia" w:eastAsiaTheme="minorEastAsia" w:cstheme="minorEastAsia"/>
          <w:b/>
          <w:bCs w:val="0"/>
          <w:color w:val="auto"/>
          <w:sz w:val="32"/>
          <w:szCs w:val="32"/>
        </w:rPr>
      </w:pPr>
      <w:r>
        <w:rPr>
          <w:rFonts w:hint="eastAsia" w:asciiTheme="minorEastAsia" w:hAnsiTheme="minorEastAsia" w:eastAsiaTheme="minorEastAsia" w:cstheme="minorEastAsia"/>
          <w:b/>
          <w:bCs w:val="0"/>
          <w:color w:val="auto"/>
          <w:sz w:val="32"/>
          <w:szCs w:val="32"/>
        </w:rPr>
        <w:t>招生简章</w:t>
      </w:r>
    </w:p>
    <w:p>
      <w:pPr>
        <w:keepNext w:val="0"/>
        <w:keepLines w:val="0"/>
        <w:pageBreakBefore w:val="0"/>
        <w:kinsoku/>
        <w:wordWrap/>
        <w:overflowPunct/>
        <w:topLinePunct w:val="0"/>
        <w:autoSpaceDE/>
        <w:autoSpaceDN/>
        <w:bidi w:val="0"/>
        <w:adjustRightInd/>
        <w:spacing w:line="360" w:lineRule="auto"/>
        <w:ind w:firstLine="2940" w:firstLineChars="1400"/>
        <w:contextualSpacing/>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 xml:space="preserve">  </w:t>
      </w:r>
    </w:p>
    <w:p>
      <w:pPr>
        <w:keepNext w:val="0"/>
        <w:keepLines w:val="0"/>
        <w:pageBreakBefore w:val="0"/>
        <w:numPr>
          <w:ilvl w:val="0"/>
          <w:numId w:val="1"/>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val="en-US" w:eastAsia="zh-CN"/>
        </w:rPr>
        <w:t>院校简介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上海对外经贸大学（前身上海对外贸易学院）创建于1960年，是原国家对外贸易部最早设置的两所本科高校之一，被誉为“中国对外经贸人才的摇篮”。1994年，学校划归上海市人民政府管理；2009年，入选世界首批、中国首家WTO讲席院校；2013年，更名为上海对外经贸大学；2019年，获得WTO亚太培训中心资格,成为WTO全球7个培训伙伴中在中国内地设立的唯一区域培训合作伙伴；2021年，经国务院学位委员会批准，成为博士学位授予单位，应用经济学成为一级学科博士学位授权点,跻身上海市重点建设的高水平地方高校行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学校因贸易强国而生、因对外开放而兴、因全面改革而盛、因新时代开放事业而新，经过60余年的发展，已构建起特色鲜明、优势突出的本硕博一体化人才培养体系，在高层次、应用型、国际化经贸人才培养和国际经贸领域决策咨询研究方面取得丰硕成果，综合办学实力显著提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随着全球信息化、智能化、电子化时代的不断深化和联系密切，商务信息在社会经济中占据着越来越举足轻重的地位，商务信息参与着社会和经济各方面的运转，特此2022年上海对外经贸大学开设商务信息管理专业（商务数据分析方向）高级培训班，</w:t>
      </w:r>
      <w:r>
        <w:rPr>
          <w:rFonts w:hint="eastAsia" w:asciiTheme="minorEastAsia" w:hAnsiTheme="minorEastAsia" w:eastAsiaTheme="minorEastAsia" w:cstheme="minorEastAsia"/>
          <w:color w:val="auto"/>
          <w:sz w:val="21"/>
          <w:szCs w:val="21"/>
        </w:rPr>
        <w:t>改善与更新在职人员的知识结构，全方位拓展在</w:t>
      </w:r>
      <w:r>
        <w:rPr>
          <w:rFonts w:hint="eastAsia" w:asciiTheme="minorEastAsia" w:hAnsiTheme="minorEastAsia" w:eastAsiaTheme="minorEastAsia" w:cstheme="minorEastAsia"/>
          <w:color w:val="auto"/>
          <w:sz w:val="21"/>
          <w:szCs w:val="21"/>
          <w:lang w:val="en-US" w:eastAsia="zh-CN"/>
        </w:rPr>
        <w:t>商务信息管理各行各业的</w:t>
      </w:r>
      <w:r>
        <w:rPr>
          <w:rFonts w:hint="eastAsia" w:asciiTheme="minorEastAsia" w:hAnsiTheme="minorEastAsia" w:eastAsiaTheme="minorEastAsia" w:cstheme="minorEastAsia"/>
          <w:color w:val="auto"/>
          <w:sz w:val="21"/>
          <w:szCs w:val="21"/>
        </w:rPr>
        <w:t>新形势下的战略视野和提升职业发展潜力，培养精英人才</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numPr>
          <w:ilvl w:val="0"/>
          <w:numId w:val="1"/>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培养目标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学校本专业主要是培养熟悉经济、管理、信息技术基础知识，能熟练运用信息技术和现代经济管理的基本原理和方法处理企业在商务管理中的实际问题，具有较强的市场分析、市场开发、营销策划、商务沟通、客户服务等能力，能从事企业形象管理、营销信息管理、客户信息管理等具有可持续发展的创新精神和实践能力的高素质信息技术技能型高端人才。</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numPr>
          <w:ilvl w:val="0"/>
          <w:numId w:val="1"/>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特色优势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1、【外贸实力雄厚】</w:t>
      </w:r>
      <w:r>
        <w:rPr>
          <w:rFonts w:hint="eastAsia" w:asciiTheme="minorEastAsia" w:hAnsiTheme="minorEastAsia" w:eastAsiaTheme="minorEastAsia" w:cstheme="minorEastAsia"/>
          <w:color w:val="auto"/>
          <w:sz w:val="21"/>
          <w:szCs w:val="21"/>
        </w:rPr>
        <w:t>上海对外经贸大学被誉为“中国对外经贸人才的摇篮”</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是</w:t>
      </w:r>
      <w:r>
        <w:rPr>
          <w:rFonts w:hint="eastAsia" w:asciiTheme="minorEastAsia" w:hAnsiTheme="minorEastAsia" w:eastAsiaTheme="minorEastAsia" w:cstheme="minorEastAsia"/>
          <w:color w:val="auto"/>
          <w:sz w:val="21"/>
          <w:szCs w:val="21"/>
        </w:rPr>
        <w:t>WTO全球7个培训伙伴中在中国内地设立的唯一区域培训合作伙伴</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2、【正规硕士教育】：科学完整的课程体系，符合条件者可申请硕士学位；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3、【免试审核入学】：采取资格审核方式入学，免试入学；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4、【多次申硕机会】：可以多次参加申硕全国统考；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5、【共享学校资源】：可享受与在校生同等的电子数据资源，获得我校校友会会员资格。</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numPr>
          <w:ilvl w:val="0"/>
          <w:numId w:val="1"/>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课程设置</w:t>
      </w:r>
    </w:p>
    <w:tbl>
      <w:tblPr>
        <w:tblStyle w:val="5"/>
        <w:tblW w:w="8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4"/>
        <w:gridCol w:w="2475"/>
        <w:gridCol w:w="3254"/>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399" w:type="dxa"/>
            <w:gridSpan w:val="4"/>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val="en-US" w:eastAsia="zh-CN"/>
              </w:rPr>
              <w:t>商务信息管理</w:t>
            </w:r>
            <w:r>
              <w:rPr>
                <w:rFonts w:hint="eastAsia" w:asciiTheme="minorEastAsia" w:hAnsiTheme="minorEastAsia" w:eastAsiaTheme="minorEastAsia" w:cstheme="minorEastAsia"/>
                <w:b/>
                <w:bCs/>
                <w:color w:val="auto"/>
                <w:sz w:val="21"/>
                <w:szCs w:val="21"/>
              </w:rPr>
              <w:t>专业课程设置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30" w:hRule="atLeast"/>
        </w:trPr>
        <w:tc>
          <w:tcPr>
            <w:tcW w:w="2664"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社会主义经济理论</w:t>
            </w:r>
          </w:p>
        </w:tc>
        <w:tc>
          <w:tcPr>
            <w:tcW w:w="2475"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英语听说</w:t>
            </w:r>
          </w:p>
        </w:tc>
        <w:tc>
          <w:tcPr>
            <w:tcW w:w="3254"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30" w:hRule="atLeast"/>
        </w:trPr>
        <w:tc>
          <w:tcPr>
            <w:tcW w:w="2664"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市场营销</w:t>
            </w:r>
          </w:p>
        </w:tc>
        <w:tc>
          <w:tcPr>
            <w:tcW w:w="2475"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战略管理</w:t>
            </w:r>
          </w:p>
        </w:tc>
        <w:tc>
          <w:tcPr>
            <w:tcW w:w="3254"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30" w:hRule="atLeast"/>
        </w:trPr>
        <w:tc>
          <w:tcPr>
            <w:tcW w:w="2664"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综合英语</w:t>
            </w:r>
          </w:p>
        </w:tc>
        <w:tc>
          <w:tcPr>
            <w:tcW w:w="2475"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机器学习</w:t>
            </w:r>
          </w:p>
        </w:tc>
        <w:tc>
          <w:tcPr>
            <w:tcW w:w="3254"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商务数据分析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30" w:hRule="atLeast"/>
        </w:trPr>
        <w:tc>
          <w:tcPr>
            <w:tcW w:w="2664"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人工智能</w:t>
            </w:r>
          </w:p>
        </w:tc>
        <w:tc>
          <w:tcPr>
            <w:tcW w:w="2475"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保险专题</w:t>
            </w:r>
          </w:p>
        </w:tc>
        <w:tc>
          <w:tcPr>
            <w:tcW w:w="3254"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知识产权法</w:t>
            </w:r>
          </w:p>
        </w:tc>
      </w:tr>
    </w:tbl>
    <w:p>
      <w:pPr>
        <w:pStyle w:val="4"/>
        <w:keepNext w:val="0"/>
        <w:keepLines w:val="0"/>
        <w:pageBreakBefore w:val="0"/>
        <w:kinsoku/>
        <w:wordWrap/>
        <w:overflowPunct/>
        <w:topLinePunct w:val="0"/>
        <w:autoSpaceDE/>
        <w:autoSpaceDN/>
        <w:bidi w:val="0"/>
        <w:adjustRightInd/>
        <w:snapToGrid w:val="0"/>
        <w:spacing w:line="360" w:lineRule="auto"/>
        <w:ind w:firstLine="2520" w:firstLineChars="1200"/>
        <w:contextualSpacing/>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color w:val="auto"/>
          <w:sz w:val="21"/>
          <w:szCs w:val="21"/>
        </w:rPr>
        <w:t>注：部分</w:t>
      </w:r>
      <w:r>
        <w:rPr>
          <w:rFonts w:hint="eastAsia" w:asciiTheme="minorEastAsia" w:hAnsiTheme="minorEastAsia" w:eastAsiaTheme="minorEastAsia" w:cstheme="minorEastAsia"/>
          <w:color w:val="auto"/>
          <w:sz w:val="21"/>
          <w:szCs w:val="21"/>
          <w:lang w:val="en-US" w:eastAsia="zh-CN"/>
        </w:rPr>
        <w:t>方向</w:t>
      </w:r>
      <w:r>
        <w:rPr>
          <w:rFonts w:hint="eastAsia" w:asciiTheme="minorEastAsia" w:hAnsiTheme="minorEastAsia" w:eastAsiaTheme="minorEastAsia" w:cstheme="minorEastAsia"/>
          <w:color w:val="auto"/>
          <w:sz w:val="21"/>
          <w:szCs w:val="21"/>
        </w:rPr>
        <w:t>课程教学参照实际</w:t>
      </w:r>
    </w:p>
    <w:p>
      <w:pPr>
        <w:keepNext w:val="0"/>
        <w:keepLines w:val="0"/>
        <w:pageBreakBefore w:val="0"/>
        <w:numPr>
          <w:ilvl w:val="0"/>
          <w:numId w:val="1"/>
        </w:numPr>
        <w:kinsoku/>
        <w:wordWrap/>
        <w:overflowPunct/>
        <w:topLinePunct w:val="0"/>
        <w:autoSpaceDE/>
        <w:autoSpaceDN/>
        <w:bidi w:val="0"/>
        <w:adjustRightInd/>
        <w:spacing w:line="360" w:lineRule="auto"/>
        <w:ind w:left="210" w:leftChars="0" w:firstLineChars="0"/>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lang w:val="en-US" w:eastAsia="zh-CN"/>
        </w:rPr>
        <w:t>报考条件</w:t>
      </w:r>
    </w:p>
    <w:p>
      <w:pPr>
        <w:keepNext w:val="0"/>
        <w:keepLines w:val="0"/>
        <w:pageBreakBefore w:val="0"/>
        <w:numPr>
          <w:ilvl w:val="0"/>
          <w:numId w:val="2"/>
        </w:numPr>
        <w:kinsoku/>
        <w:wordWrap/>
        <w:overflowPunct/>
        <w:topLinePunct w:val="0"/>
        <w:autoSpaceDE/>
        <w:autoSpaceDN/>
        <w:bidi w:val="0"/>
        <w:adjustRightInd/>
        <w:spacing w:line="360" w:lineRule="auto"/>
        <w:ind w:left="420" w:leftChars="200" w:firstLine="0" w:firstLine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遵纪守法，品行端正，在教学、科研、专门技术、管理等方面做出成绩的在职人</w:t>
      </w:r>
    </w:p>
    <w:p>
      <w:pPr>
        <w:keepNext w:val="0"/>
        <w:keepLines w:val="0"/>
        <w:pageBreakBefore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已获得</w:t>
      </w:r>
      <w:r>
        <w:rPr>
          <w:rFonts w:hint="eastAsia" w:asciiTheme="minorEastAsia" w:hAnsiTheme="minorEastAsia" w:eastAsiaTheme="minorEastAsia" w:cstheme="minorEastAsia"/>
          <w:color w:val="auto"/>
          <w:sz w:val="21"/>
          <w:szCs w:val="21"/>
          <w:lang w:val="en-US" w:eastAsia="zh-CN"/>
        </w:rPr>
        <w:t>本科</w:t>
      </w:r>
      <w:r>
        <w:rPr>
          <w:rFonts w:hint="eastAsia" w:asciiTheme="minorEastAsia" w:hAnsiTheme="minorEastAsia" w:eastAsiaTheme="minorEastAsia" w:cstheme="minorEastAsia"/>
          <w:color w:val="auto"/>
          <w:sz w:val="21"/>
          <w:szCs w:val="21"/>
        </w:rPr>
        <w:t>学士学位，并在获得学士学位后工作三年以上，或虽无学士学位但已获得硕士或博士学位。对已获得学士、硕士或博士学位为国(境)外学位的，其所获的国(境)外学位需经教育部留学服务中心认证；</w:t>
      </w:r>
    </w:p>
    <w:p>
      <w:pPr>
        <w:pStyle w:val="4"/>
        <w:keepNext w:val="0"/>
        <w:keepLines w:val="0"/>
        <w:pageBreakBefore w:val="0"/>
        <w:kinsoku/>
        <w:wordWrap/>
        <w:overflowPunct/>
        <w:topLinePunct w:val="0"/>
        <w:autoSpaceDE/>
        <w:autoSpaceDN/>
        <w:bidi w:val="0"/>
        <w:adjustRightInd/>
        <w:snapToGrid w:val="0"/>
        <w:spacing w:line="360" w:lineRule="auto"/>
        <w:contextualSpacing/>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 xml:space="preserve"> 3</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大专学历和本科学历无学士学位者，可参加高级培训班。</w:t>
      </w: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六、报名材料</w:t>
      </w:r>
    </w:p>
    <w:p>
      <w:pPr>
        <w:keepNext w:val="0"/>
        <w:keepLines w:val="0"/>
        <w:pageBreakBefore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1、身份证原件及复印件1份；</w:t>
      </w:r>
    </w:p>
    <w:p>
      <w:pPr>
        <w:keepNext w:val="0"/>
        <w:keepLines w:val="0"/>
        <w:pageBreakBefore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2、本科毕业证原件及复印件1份；</w:t>
      </w:r>
    </w:p>
    <w:p>
      <w:pPr>
        <w:keepNext w:val="0"/>
        <w:keepLines w:val="0"/>
        <w:pageBreakBefore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3、学士学位证书原件及复印件1份； </w:t>
      </w:r>
    </w:p>
    <w:p>
      <w:pPr>
        <w:keepNext w:val="0"/>
        <w:keepLines w:val="0"/>
        <w:pageBreakBefore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4、两寸证件照片3张。</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cstheme="minorEastAsia"/>
          <w:b/>
          <w:bCs/>
          <w:color w:val="auto"/>
          <w:sz w:val="21"/>
          <w:szCs w:val="21"/>
          <w:lang w:val="en-US" w:eastAsia="zh-CN"/>
        </w:rPr>
        <w:t>七、</w:t>
      </w:r>
      <w:r>
        <w:rPr>
          <w:rFonts w:hint="eastAsia" w:asciiTheme="minorEastAsia" w:hAnsiTheme="minorEastAsia" w:eastAsiaTheme="minorEastAsia" w:cstheme="minorEastAsia"/>
          <w:b/>
          <w:bCs/>
          <w:color w:val="auto"/>
          <w:sz w:val="21"/>
          <w:szCs w:val="21"/>
          <w:lang w:val="en-US" w:eastAsia="zh-CN"/>
        </w:rPr>
        <w:t>培养方式</w:t>
      </w:r>
    </w:p>
    <w:p>
      <w:pPr>
        <w:keepNext w:val="0"/>
        <w:keepLines w:val="0"/>
        <w:pageBreakBefore w:val="0"/>
        <w:numPr>
          <w:ilvl w:val="0"/>
          <w:numId w:val="0"/>
        </w:numPr>
        <w:kinsoku/>
        <w:wordWrap/>
        <w:overflowPunct/>
        <w:topLinePunct w:val="0"/>
        <w:autoSpaceDE/>
        <w:autoSpaceDN/>
        <w:bidi w:val="0"/>
        <w:adjustRightInd/>
        <w:spacing w:line="360" w:lineRule="auto"/>
        <w:ind w:left="210" w:leftChars="0" w:firstLine="210" w:firstLineChars="1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在职不脱产学习，学习期限2年，周</w:t>
      </w:r>
      <w:r>
        <w:rPr>
          <w:rFonts w:hint="eastAsia" w:asciiTheme="minorEastAsia" w:hAnsiTheme="minorEastAsia" w:eastAsiaTheme="minorEastAsia" w:cstheme="minorEastAsia"/>
          <w:color w:val="auto"/>
          <w:sz w:val="21"/>
          <w:szCs w:val="21"/>
          <w:lang w:val="en-US" w:eastAsia="zh-CN"/>
        </w:rPr>
        <w:t>末网络</w:t>
      </w:r>
      <w:r>
        <w:rPr>
          <w:rFonts w:hint="eastAsia" w:asciiTheme="minorEastAsia" w:hAnsiTheme="minorEastAsia" w:eastAsiaTheme="minorEastAsia" w:cstheme="minorEastAsia"/>
          <w:color w:val="auto"/>
          <w:sz w:val="21"/>
          <w:szCs w:val="21"/>
        </w:rPr>
        <w:t>授课</w:t>
      </w:r>
      <w:r>
        <w:rPr>
          <w:rFonts w:hint="eastAsia" w:asciiTheme="minorEastAsia" w:hAnsiTheme="minorEastAsia" w:cstheme="minorEastAsia"/>
          <w:color w:val="auto"/>
          <w:sz w:val="21"/>
          <w:szCs w:val="21"/>
          <w:lang w:eastAsia="zh-CN"/>
        </w:rPr>
        <w:t>；</w:t>
      </w:r>
    </w:p>
    <w:p>
      <w:pPr>
        <w:keepNext w:val="0"/>
        <w:keepLines w:val="0"/>
        <w:pageBreakBefore w:val="0"/>
        <w:numPr>
          <w:ilvl w:val="0"/>
          <w:numId w:val="0"/>
        </w:numPr>
        <w:kinsoku/>
        <w:wordWrap/>
        <w:overflowPunct/>
        <w:topLinePunct w:val="0"/>
        <w:autoSpaceDE/>
        <w:autoSpaceDN/>
        <w:bidi w:val="0"/>
        <w:adjustRightInd/>
        <w:spacing w:line="360" w:lineRule="auto"/>
        <w:ind w:left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专业课程高级培训班，一年开班两次，分别为春季班3月及秋季班9月。</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八、收费标准</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学费：35000元</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 xml:space="preserve">    教辅费用：5000元</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numPr>
          <w:ilvl w:val="0"/>
          <w:numId w:val="3"/>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获取证书</w:t>
      </w:r>
    </w:p>
    <w:p>
      <w:pPr>
        <w:keepNext w:val="0"/>
        <w:keepLines w:val="0"/>
        <w:pageBreakBefore w:val="0"/>
        <w:numPr>
          <w:ilvl w:val="0"/>
          <w:numId w:val="4"/>
        </w:numPr>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学员按教学计划完成全部课程学习且考试合格者，颁发上海对外经贸大学专业课程高级培训班结业证书</w:t>
      </w:r>
      <w:r>
        <w:rPr>
          <w:rFonts w:hint="eastAsia" w:asciiTheme="minorEastAsia" w:hAnsiTheme="minorEastAsia" w:cstheme="minorEastAsia"/>
          <w:color w:val="auto"/>
          <w:sz w:val="21"/>
          <w:szCs w:val="21"/>
          <w:lang w:eastAsia="zh-CN"/>
        </w:rPr>
        <w:t>；</w:t>
      </w:r>
    </w:p>
    <w:p>
      <w:pPr>
        <w:keepNext w:val="0"/>
        <w:keepLines w:val="0"/>
        <w:pageBreakBefore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具有学士学位的学员且完成专业课程高级培训班全部课程学习，通过同等学力申硕全国统一考试（考试科目根据专业有所区别）后，可申请进入硕士学位论文撰写阶段。通过硕士论文答辩者，根据《上海对外经贸大学研究生学位管理办法实施细则》授予硕士学位。</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pacing w:line="360" w:lineRule="auto"/>
        <w:ind w:leftChars="0" w:firstLine="420" w:firstLineChars="200"/>
        <w:textAlignment w:val="auto"/>
        <w:rPr>
          <w:rFonts w:hint="eastAsia" w:asciiTheme="minorEastAsia" w:hAnsiTheme="minorEastAsia" w:eastAsiaTheme="minorEastAsia" w:cstheme="minorEastAsia"/>
          <w:color w:val="auto"/>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64150"/>
          <wp:effectExtent l="0" t="0" r="2540" b="12700"/>
          <wp:wrapNone/>
          <wp:docPr id="1" name="WordPictureWatermark20675" descr="上海对外经贸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0675" descr="上海对外经贸大学LOGO"/>
                  <pic:cNvPicPr>
                    <a:picLocks noChangeAspect="1"/>
                  </pic:cNvPicPr>
                </pic:nvPicPr>
                <pic:blipFill>
                  <a:blip r:embed="rId1">
                    <a:lum bright="69998" contrast="-70001"/>
                  </a:blip>
                  <a:stretch>
                    <a:fillRect/>
                  </a:stretch>
                </pic:blipFill>
                <pic:spPr>
                  <a:xfrm>
                    <a:off x="0" y="0"/>
                    <a:ext cx="5274310" cy="52641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00C4E0"/>
    <w:multiLevelType w:val="singleLevel"/>
    <w:tmpl w:val="E400C4E0"/>
    <w:lvl w:ilvl="0" w:tentative="0">
      <w:start w:val="1"/>
      <w:numFmt w:val="decimal"/>
      <w:suff w:val="nothing"/>
      <w:lvlText w:val="%1、"/>
      <w:lvlJc w:val="left"/>
    </w:lvl>
  </w:abstractNum>
  <w:abstractNum w:abstractNumId="1">
    <w:nsid w:val="3677D025"/>
    <w:multiLevelType w:val="singleLevel"/>
    <w:tmpl w:val="3677D025"/>
    <w:lvl w:ilvl="0" w:tentative="0">
      <w:start w:val="1"/>
      <w:numFmt w:val="decimal"/>
      <w:suff w:val="nothing"/>
      <w:lvlText w:val="%1、"/>
      <w:lvlJc w:val="left"/>
    </w:lvl>
  </w:abstractNum>
  <w:abstractNum w:abstractNumId="2">
    <w:nsid w:val="49BD8620"/>
    <w:multiLevelType w:val="singleLevel"/>
    <w:tmpl w:val="49BD8620"/>
    <w:lvl w:ilvl="0" w:tentative="0">
      <w:start w:val="9"/>
      <w:numFmt w:val="chineseCounting"/>
      <w:suff w:val="nothing"/>
      <w:lvlText w:val="%1、"/>
      <w:lvlJc w:val="left"/>
      <w:rPr>
        <w:rFonts w:hint="eastAsia"/>
      </w:rPr>
    </w:lvl>
  </w:abstractNum>
  <w:abstractNum w:abstractNumId="3">
    <w:nsid w:val="68E0B413"/>
    <w:multiLevelType w:val="singleLevel"/>
    <w:tmpl w:val="68E0B413"/>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CD26A1"/>
    <w:rsid w:val="019E38DC"/>
    <w:rsid w:val="08E149FF"/>
    <w:rsid w:val="0A0C1921"/>
    <w:rsid w:val="0A505139"/>
    <w:rsid w:val="0CCD26A1"/>
    <w:rsid w:val="12FC5E1A"/>
    <w:rsid w:val="1D4F26F8"/>
    <w:rsid w:val="307224F7"/>
    <w:rsid w:val="32706BB8"/>
    <w:rsid w:val="396106E4"/>
    <w:rsid w:val="47E32C0C"/>
    <w:rsid w:val="553A6BA6"/>
    <w:rsid w:val="7C5235DB"/>
    <w:rsid w:val="7F675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1466</Words>
  <Characters>1503</Characters>
  <Lines>0</Lines>
  <Paragraphs>0</Paragraphs>
  <TotalTime>4</TotalTime>
  <ScaleCrop>false</ScaleCrop>
  <LinksUpToDate>false</LinksUpToDate>
  <CharactersWithSpaces>1519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2022-03-04T02:04:00Z</dcterms:created>
  <dc:creator>Administrator</dc:creator>
  <cp:lastModifiedBy>冰冰⊙▽⊙＊</cp:lastModifiedBy>
  <dcterms:modified xsi:type="dcterms:W3CDTF">2022-05-18T02:56:39Z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C2D1855C67D047B5B1F36470729DE06F</vt:lpwstr>
  </property>
</Properties>
</file>