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21" w:lineRule="atLeast"/>
        <w:ind w:left="0" w:right="0"/>
        <w:rPr>
          <w:b/>
          <w:i w:val="0"/>
          <w:caps w:val="0"/>
          <w:color w:val="333333"/>
          <w:spacing w:val="8"/>
          <w:sz w:val="33"/>
          <w:szCs w:val="33"/>
          <w:bdr w:val="none" w:color="auto" w:sz="0" w:space="0"/>
          <w:shd w:val="clear" w:fill="FFFFFF"/>
        </w:rPr>
      </w:pPr>
      <w:r>
        <w:rPr>
          <w:b/>
          <w:i w:val="0"/>
          <w:caps w:val="0"/>
          <w:color w:val="333333"/>
          <w:spacing w:val="8"/>
          <w:sz w:val="33"/>
          <w:szCs w:val="33"/>
          <w:bdr w:val="none" w:color="auto" w:sz="0" w:space="0"/>
          <w:shd w:val="clear" w:fill="FFFFFF"/>
        </w:rPr>
        <w:t>第32期 中国老龄产业总裁研修班（运营管理专题）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2243455"/>
            <wp:effectExtent l="0" t="0" r="4445" b="4445"/>
            <wp:docPr id="9" name="图片 9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24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课程背景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       运营管理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，是现阶段我国养老服务发展的核心内容！在经历了“跑马圈地”和“一拥而上”的养老投资热潮之后，养老行业进入了冷静地“成熟期”。国家系列文件的发布，机构运营管理标准的确立，引领养老服务机构进入了“精细化管理”阶段！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2C7FF1"/>
          <w:spacing w:val="8"/>
          <w:sz w:val="21"/>
          <w:szCs w:val="21"/>
          <w:bdr w:val="none" w:color="auto" w:sz="0" w:space="0"/>
          <w:shd w:val="clear" w:fill="FFFFFF"/>
        </w:rPr>
        <w:t>如何建立有效的社区居家养老服务模式，让“不盈利”的机构实现“自体循环”？如何让养老服务质量有显著提升？如何建立起一支能打硬仗的人才队伍？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…….成为了当下养老行业新的关注点。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         本次课程我们将邀请国家级的专家学者，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2C7FF1"/>
          <w:spacing w:val="8"/>
          <w:sz w:val="21"/>
          <w:szCs w:val="21"/>
          <w:bdr w:val="none" w:color="auto" w:sz="0" w:space="0"/>
          <w:shd w:val="clear" w:fill="FFFFFF"/>
        </w:rPr>
        <w:t>全面地解析养老服务机构运营管理的实践要略，完整地剖析存量资产转型养老项目的方法与模式，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为我们揭开“</w:t>
      </w: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行业背后的商业秘密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”。同时，我们还邀请了行业精英与大型养老项目操盘手，为我们分享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2C7FF1"/>
          <w:spacing w:val="8"/>
          <w:sz w:val="21"/>
          <w:szCs w:val="21"/>
          <w:bdr w:val="none" w:color="auto" w:sz="0" w:space="0"/>
          <w:shd w:val="clear" w:fill="FFFFFF"/>
        </w:rPr>
        <w:t>“人才培养和团队建设”以及“服务提质增效”的成功秘诀。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课程以案例课程为主导，“学与用”相结合，一定不负你的期待！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课程特点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FF8124"/>
          <w:spacing w:val="8"/>
          <w:sz w:val="21"/>
          <w:szCs w:val="21"/>
          <w:bdr w:val="none" w:color="auto" w:sz="0" w:space="0"/>
          <w:shd w:val="clear" w:fill="FFFFFF"/>
        </w:rPr>
        <w:t>实用性：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000000"/>
          <w:spacing w:val="8"/>
          <w:sz w:val="21"/>
          <w:szCs w:val="21"/>
          <w:bdr w:val="none" w:color="auto" w:sz="0" w:space="0"/>
          <w:shd w:val="clear" w:fill="FFFFFF"/>
        </w:rPr>
        <w:t>面向“十四五”，关注行业变化，全流程运营管理学习；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FF8124"/>
          <w:spacing w:val="8"/>
          <w:sz w:val="21"/>
          <w:szCs w:val="21"/>
          <w:bdr w:val="none" w:color="auto" w:sz="0" w:space="0"/>
          <w:shd w:val="clear" w:fill="FFFFFF"/>
        </w:rPr>
        <w:t>专业性：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000000"/>
          <w:spacing w:val="8"/>
          <w:sz w:val="21"/>
          <w:szCs w:val="21"/>
          <w:bdr w:val="none" w:color="auto" w:sz="0" w:space="0"/>
          <w:shd w:val="clear" w:fill="FFFFFF"/>
        </w:rPr>
        <w:t>分享真实项目中的实务经验，提点那些成功的关键；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FF8124"/>
          <w:spacing w:val="8"/>
          <w:sz w:val="21"/>
          <w:szCs w:val="21"/>
          <w:bdr w:val="none" w:color="auto" w:sz="0" w:space="0"/>
          <w:shd w:val="clear" w:fill="FFFFFF"/>
        </w:rPr>
        <w:t>指向性：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000000"/>
          <w:spacing w:val="8"/>
          <w:sz w:val="21"/>
          <w:szCs w:val="21"/>
          <w:bdr w:val="none" w:color="auto" w:sz="0" w:space="0"/>
          <w:shd w:val="clear" w:fill="FFFFFF"/>
        </w:rPr>
        <w:t>专注实践，多元化的视角，助力机构医养融合发展；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FF8124"/>
          <w:spacing w:val="8"/>
          <w:sz w:val="21"/>
          <w:szCs w:val="21"/>
          <w:bdr w:val="none" w:color="auto" w:sz="0" w:space="0"/>
          <w:shd w:val="clear" w:fill="FFFFFF"/>
        </w:rPr>
        <w:t>互助性：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000000"/>
          <w:spacing w:val="8"/>
          <w:sz w:val="21"/>
          <w:szCs w:val="21"/>
          <w:bdr w:val="none" w:color="auto" w:sz="0" w:space="0"/>
          <w:shd w:val="clear" w:fill="FFFFFF"/>
        </w:rPr>
        <w:t>全方位的交流，互为师长，相互学习，共同成长。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0D51AC"/>
          <w:spacing w:val="8"/>
          <w:sz w:val="24"/>
          <w:szCs w:val="24"/>
          <w:bdr w:val="none" w:color="auto" w:sz="0" w:space="0"/>
          <w:shd w:val="clear" w:fill="FFFFFF"/>
        </w:rPr>
      </w:pP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0D51AC"/>
          <w:spacing w:val="8"/>
          <w:sz w:val="24"/>
          <w:szCs w:val="24"/>
          <w:bdr w:val="none" w:color="auto" w:sz="0" w:space="0"/>
          <w:shd w:val="clear" w:fill="FFFFFF"/>
        </w:rPr>
        <w:t>课程安排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0D51AC"/>
          <w:spacing w:val="8"/>
          <w:sz w:val="24"/>
          <w:szCs w:val="24"/>
          <w:bdr w:val="none" w:color="auto" w:sz="0" w:space="0"/>
          <w:shd w:val="clear" w:fill="FFFFFF"/>
          <w:lang w:eastAsia="zh-CN"/>
        </w:rPr>
      </w:pP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0D51AC"/>
          <w:spacing w:val="8"/>
          <w:sz w:val="24"/>
          <w:szCs w:val="24"/>
          <w:bdr w:val="none" w:color="auto" w:sz="0" w:space="0"/>
          <w:shd w:val="clear" w:fill="FFFFFF"/>
          <w:lang w:eastAsia="zh-CN"/>
        </w:rPr>
        <w:drawing>
          <wp:inline distT="0" distB="0" distL="114300" distR="114300">
            <wp:extent cx="5271135" cy="4919345"/>
            <wp:effectExtent l="0" t="0" r="5715" b="14605"/>
            <wp:docPr id="10" name="图片 10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491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0D51AC"/>
          <w:spacing w:val="8"/>
          <w:sz w:val="24"/>
          <w:szCs w:val="24"/>
          <w:bdr w:val="none" w:color="auto" w:sz="0" w:space="0"/>
          <w:shd w:val="clear" w:fill="FFFFFF"/>
        </w:rPr>
      </w:pP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0D51AC"/>
          <w:spacing w:val="8"/>
          <w:sz w:val="24"/>
          <w:szCs w:val="24"/>
          <w:bdr w:val="none" w:color="auto" w:sz="0" w:space="0"/>
          <w:shd w:val="clear" w:fill="FFFFFF"/>
        </w:rPr>
        <w:t>课程内容</w:t>
      </w:r>
    </w:p>
    <w:p>
      <w:pPr>
        <w:keepNext w:val="0"/>
        <w:keepLines w:val="0"/>
        <w:widowControl/>
        <w:suppressLineNumbers w:val="0"/>
        <w:spacing w:before="0" w:beforeAutospacing="0" w:after="240" w:afterAutospacing="0"/>
        <w:ind w:left="0" w:right="0"/>
        <w:jc w:val="left"/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000000"/>
          <w:spacing w:val="8"/>
          <w:sz w:val="21"/>
          <w:szCs w:val="21"/>
          <w:bdr w:val="none" w:color="auto" w:sz="0" w:space="0"/>
          <w:shd w:val="clear" w:fill="FFFFFF"/>
        </w:rPr>
      </w:pP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FF8124"/>
          <w:spacing w:val="8"/>
          <w:sz w:val="21"/>
          <w:szCs w:val="21"/>
          <w:bdr w:val="none" w:color="auto" w:sz="0" w:space="0"/>
          <w:shd w:val="clear" w:fill="FFFFFF"/>
        </w:rPr>
        <w:t>主题课程1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FF8124"/>
          <w:spacing w:val="8"/>
          <w:sz w:val="21"/>
          <w:szCs w:val="21"/>
          <w:bdr w:val="none" w:color="auto" w:sz="0" w:space="0"/>
          <w:shd w:val="clear" w:fill="FFFFFF"/>
        </w:rPr>
        <w:t>：</w:t>
      </w: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000000"/>
          <w:spacing w:val="8"/>
          <w:sz w:val="21"/>
          <w:szCs w:val="21"/>
          <w:bdr w:val="none" w:color="auto" w:sz="0" w:space="0"/>
          <w:shd w:val="clear" w:fill="FFFFFF"/>
        </w:rPr>
        <w:t>新环境下社区居家养老政策的新变化</w:t>
      </w:r>
    </w:p>
    <w:p>
      <w:pPr>
        <w:keepNext w:val="0"/>
        <w:keepLines w:val="0"/>
        <w:widowControl/>
        <w:suppressLineNumbers w:val="0"/>
        <w:spacing w:before="0" w:beforeAutospacing="0" w:after="240" w:afterAutospacing="0"/>
        <w:ind w:left="0" w:right="0"/>
        <w:jc w:val="left"/>
        <w:rPr>
          <w:rFonts w:hint="eastAsia" w:eastAsia="Microsoft YaHei UI"/>
          <w:lang w:eastAsia="zh-CN"/>
        </w:rPr>
      </w:pP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师资简介</w:t>
      </w:r>
      <w:r>
        <w:rPr>
          <w:rFonts w:hint="eastAsia" w:eastAsia="Microsoft YaHei UI"/>
          <w:lang w:eastAsia="zh-CN"/>
        </w:rPr>
        <w:drawing>
          <wp:inline distT="0" distB="0" distL="114300" distR="114300">
            <wp:extent cx="5270500" cy="1512570"/>
            <wp:effectExtent l="0" t="0" r="6350" b="11430"/>
            <wp:docPr id="11" name="图片 1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51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       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张恺悌老师，曾任中国老龄科学研究中心主任、全国老龄办机关党委副书记，是北京大学人口研究所特邀研究员、民政部全国养老服务业专家委员会委员、财政部PPP项目评审专家、国家开发银行养老项目评审专家、中国林草局康养规划专家等。从事老龄问题研究工作三十余年，重点研究老龄公共政策、老龄产业政策、老龄产业投资策略、老龄产业模式评估与推广、养老服务改革与试点、老年人能力评估等方向，在国内外发表论文近百篇，并主编撰写出版了三十余部养老方面的专著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内容提纲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1、新环境下我国社区居家养老政策的调整和变化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2、全国居家养老服务试点的情况解析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3、未来我国社区居家养老重点发展领域研判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FF8124"/>
          <w:spacing w:val="8"/>
          <w:sz w:val="21"/>
          <w:szCs w:val="21"/>
          <w:bdr w:val="none" w:color="auto" w:sz="0" w:space="0"/>
          <w:shd w:val="clear" w:fill="FFFFFF"/>
        </w:rPr>
        <w:t>案例课程1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FF8124"/>
          <w:spacing w:val="8"/>
          <w:sz w:val="21"/>
          <w:szCs w:val="21"/>
          <w:bdr w:val="none" w:color="auto" w:sz="0" w:space="0"/>
          <w:shd w:val="clear" w:fill="FFFFFF"/>
        </w:rPr>
        <w:t>：</w:t>
      </w: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000000"/>
          <w:spacing w:val="8"/>
          <w:sz w:val="21"/>
          <w:szCs w:val="21"/>
          <w:bdr w:val="none" w:color="auto" w:sz="0" w:space="0"/>
          <w:shd w:val="clear" w:fill="FFFFFF"/>
        </w:rPr>
        <w:t>优质连锁化养老机构的人才体系建设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</w:pP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师资简介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  <w:lang w:eastAsia="zh-CN"/>
        </w:rPr>
      </w:pP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  <w:lang w:eastAsia="zh-CN"/>
        </w:rPr>
        <w:drawing>
          <wp:inline distT="0" distB="0" distL="114300" distR="114300">
            <wp:extent cx="5270500" cy="1524000"/>
            <wp:effectExtent l="0" t="0" r="6350" b="0"/>
            <wp:docPr id="12" name="图片 1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       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陈斌老师深耕养老行业近10年，拥有5家中小型品牌连锁养老机构，是川渝地区新晋的养老领军人物。经过多年的实践，陈斌老师在资源整合、企业定位、机构建设及核心团队打造方面总结了一套行之有效的办法，助力了多家养老服务机构的建设和发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内容提纲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1. 连锁化养老机构的人员选择与岗位配比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2. 优质养老机构院长需要具备的素质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3. 优质连锁化养老机构的团队建设与人才培养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FF8124"/>
          <w:spacing w:val="8"/>
          <w:sz w:val="21"/>
          <w:szCs w:val="21"/>
          <w:bdr w:val="none" w:color="auto" w:sz="0" w:space="0"/>
          <w:shd w:val="clear" w:fill="FFFFFF"/>
        </w:rPr>
        <w:t>主题课程2：</w:t>
      </w: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000000"/>
          <w:spacing w:val="8"/>
          <w:sz w:val="21"/>
          <w:szCs w:val="21"/>
          <w:bdr w:val="none" w:color="auto" w:sz="0" w:space="0"/>
          <w:shd w:val="clear" w:fill="FFFFFF"/>
        </w:rPr>
        <w:t>如何为存量资产设计匹配的商业模式？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</w:pP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师资介绍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  <w:lang w:eastAsia="zh-CN"/>
        </w:rPr>
      </w:pP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  <w:lang w:eastAsia="zh-CN"/>
        </w:rPr>
        <w:drawing>
          <wp:inline distT="0" distB="0" distL="114300" distR="114300">
            <wp:extent cx="5270500" cy="1524000"/>
            <wp:effectExtent l="0" t="0" r="6350" b="0"/>
            <wp:docPr id="13" name="图片 1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       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张婧老师现任中国健康养老集团养老产业发展部总经理，曾就职于国内大型医疗集团和养老投资机构。并担任多家老年地产项目规划和养老机构经营咨询高级顾问。从事医疗养老行业30年余年，对医疗集团及医院经营管理以及服务体系搭建具有丰富的实践经验。擅长养老项目的前策评估及投后管理、养老风控，特别是社区连锁、养老社区和医养结合项目投资管理有独到的见解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内容提纲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1. 什么样的存量资产适用于养老项目？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2. 哪些养老服务的商业模式可用于存量资产改造？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3. 如何因地制宜的进行存量资产的养老化改造？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FF8124"/>
          <w:spacing w:val="8"/>
          <w:sz w:val="21"/>
          <w:szCs w:val="21"/>
          <w:bdr w:val="none" w:color="auto" w:sz="0" w:space="0"/>
          <w:shd w:val="clear" w:fill="FFFFFF"/>
        </w:rPr>
        <w:t>案例课程2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FF8124"/>
          <w:spacing w:val="8"/>
          <w:sz w:val="21"/>
          <w:szCs w:val="21"/>
          <w:bdr w:val="none" w:color="auto" w:sz="0" w:space="0"/>
          <w:shd w:val="clear" w:fill="FFFFFF"/>
        </w:rPr>
        <w:t>：</w:t>
      </w: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000000"/>
          <w:spacing w:val="8"/>
          <w:sz w:val="21"/>
          <w:szCs w:val="21"/>
          <w:bdr w:val="none" w:color="auto" w:sz="0" w:space="0"/>
          <w:shd w:val="clear" w:fill="FFFFFF"/>
        </w:rPr>
        <w:t>养老机构服务质量保障与提升的策略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eastAsia="Microsoft YaHei UI"/>
          <w:lang w:eastAsia="zh-CN"/>
        </w:rPr>
      </w:pP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师资简介</w:t>
      </w:r>
      <w:r>
        <w:rPr>
          <w:rFonts w:hint="eastAsia" w:eastAsia="Microsoft YaHei UI"/>
          <w:lang w:eastAsia="zh-CN"/>
        </w:rPr>
        <w:drawing>
          <wp:inline distT="0" distB="0" distL="114300" distR="114300">
            <wp:extent cx="5270500" cy="1524000"/>
            <wp:effectExtent l="0" t="0" r="6350" b="0"/>
            <wp:docPr id="14" name="图片 14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         X导师，拥有26年公立医院临床护理及管理工作经验，从事大型医养结合型养老机构及社区养老运营管理工作10多年，先后在美国、日本及台湾深造学习。参与国内多个知名健康养老机构筹建管理工作，在专业仪器设施建设、服务标准体系搭建、岗位设置及人员培训工作、老年人专业护理服务包设置及标准化流程制定等方面有丰富的管理。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内容提纲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1、养老机构服务质量影响因素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2、养老机构服务质量保障与提升措施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FF8124"/>
          <w:spacing w:val="8"/>
          <w:sz w:val="21"/>
          <w:szCs w:val="21"/>
          <w:bdr w:val="none" w:color="auto" w:sz="0" w:space="0"/>
          <w:shd w:val="clear" w:fill="FFFFFF"/>
        </w:rPr>
        <w:t>现场分享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FF8124"/>
          <w:spacing w:val="8"/>
          <w:sz w:val="21"/>
          <w:szCs w:val="21"/>
          <w:bdr w:val="none" w:color="auto" w:sz="0" w:space="0"/>
          <w:shd w:val="clear" w:fill="FFFFFF"/>
        </w:rPr>
        <w:t>：</w:t>
      </w: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000000"/>
          <w:spacing w:val="8"/>
          <w:sz w:val="21"/>
          <w:szCs w:val="21"/>
          <w:bdr w:val="none" w:color="auto" w:sz="0" w:space="0"/>
          <w:shd w:val="clear" w:fill="FFFFFF"/>
        </w:rPr>
        <w:t>医养保创新模式的实践探索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8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IMG_26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eastAsia="Microsoft YaHei UI"/>
          <w:lang w:eastAsia="zh-CN"/>
        </w:rPr>
      </w:pP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师资介绍</w:t>
      </w:r>
      <w:r>
        <w:rPr>
          <w:rFonts w:hint="eastAsia" w:eastAsia="Microsoft YaHei UI"/>
          <w:lang w:eastAsia="zh-CN"/>
        </w:rPr>
        <w:drawing>
          <wp:inline distT="0" distB="0" distL="114300" distR="114300">
            <wp:extent cx="5269230" cy="1527175"/>
            <wp:effectExtent l="0" t="0" r="7620" b="15875"/>
            <wp:docPr id="15" name="图片 15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52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        吴媛媛老师现任北京城投健康产业发展有限公司总经理、北京悦之府养老服务有限公司总经理，拥有超10年的高端医疗保险产品设计及高端医疗诊所管理运营经验，参与国内多家知名养老项目策划、运营管理。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考察项目介绍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000000"/>
          <w:spacing w:val="8"/>
          <w:sz w:val="21"/>
          <w:szCs w:val="21"/>
          <w:bdr w:val="none" w:color="auto" w:sz="0" w:space="0"/>
          <w:shd w:val="clear" w:fill="FFFFFF"/>
        </w:rPr>
        <w:t>悦之府国际退休村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755390"/>
            <wp:effectExtent l="0" t="0" r="10160" b="16510"/>
            <wp:docPr id="16" name="图片 16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755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     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北京悦之府国际退休村位于怀柔区庙城镇，系北京城投控股集团打造的以“医、养、保”相结合的CCRC养老社区，是国家老龄委授牌的全国智能养老示范基地。悦之府项目建筑面积32100平米，其中绿化13000平方米，7000平米品质会所空间，共268个房间，属于中高端非公益养老机构。社区以服务型CCRC和保障型CCRC相结合的独创模式，为中国长者匠心打造国际退休村生活，以安心帮助梦想为理念为长者提供“一个真正有服务的家”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开课时间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2021年10月15日—17日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开课地点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北京：四季御园国际大酒店第四会议室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sz w:val="21"/>
          <w:szCs w:val="21"/>
        </w:rPr>
      </w:pP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收费标准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运营管理专题课程学费6800元/人，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总裁班全年(四个专题课程)学费23500元/人，免费复训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注：学费包含：培训费、资料费、午餐费及标杆项目参访费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452" w:firstLineChars="200"/>
        <w:jc w:val="both"/>
      </w:pPr>
      <w:bookmarkStart w:id="0" w:name="_GoBack"/>
      <w:bookmarkEnd w:id="0"/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学费不包含：往返交通费、研修期间住宿费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525188"/>
    <w:rsid w:val="3352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../NUL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2021-09-09T05:10:00Z</dcterms:created>
  <dc:creator>杜新敏</dc:creator>
  <cp:lastModifiedBy>杜新敏</cp:lastModifiedBy>
  <dcterms:modified xsi:type="dcterms:W3CDTF">2021-09-09T06:18:51Z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