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380" w:lineRule="exact"/>
        <w:ind w:left="0" w:right="0" w:firstLine="0"/>
        <w:jc w:val="center"/>
        <w:textAlignment w:val="auto"/>
        <w:rPr>
          <w:rFonts w:hint="eastAsia" w:ascii="楷体" w:hAnsi="楷体" w:eastAsia="楷体" w:cs="楷体"/>
          <w:b w:val="0"/>
          <w:bCs/>
          <w:i w:val="0"/>
          <w:caps w:val="0"/>
          <w:color w:val="FF0000"/>
          <w:spacing w:val="8"/>
          <w:sz w:val="36"/>
          <w:szCs w:val="36"/>
          <w:shd w:val="clear" w:fill="FFFFFF"/>
        </w:rPr>
      </w:pPr>
      <w:r>
        <w:rPr>
          <w:rFonts w:hint="eastAsia" w:ascii="楷体" w:hAnsi="楷体" w:eastAsia="楷体" w:cs="楷体"/>
          <w:b w:val="0"/>
          <w:bCs/>
          <w:i w:val="0"/>
          <w:caps w:val="0"/>
          <w:color w:val="FF0000"/>
          <w:spacing w:val="8"/>
          <w:sz w:val="30"/>
          <w:szCs w:val="30"/>
          <w:shd w:val="clear" w:fill="FFFFFF"/>
        </w:rPr>
        <w:t>卓越企业家管理创新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380" w:lineRule="exact"/>
        <w:ind w:left="0" w:right="0" w:firstLine="0"/>
        <w:jc w:val="center"/>
        <w:textAlignment w:val="auto"/>
        <w:rPr>
          <w:rFonts w:hint="eastAsia" w:ascii="楷体" w:hAnsi="楷体" w:eastAsia="楷体" w:cs="楷体"/>
          <w:b w:val="0"/>
          <w:bCs/>
          <w:i w:val="0"/>
          <w:caps w:val="0"/>
          <w:color w:val="FF0000"/>
          <w:spacing w:val="8"/>
          <w:sz w:val="36"/>
          <w:szCs w:val="36"/>
          <w:shd w:val="clear" w:fill="FFFFFF"/>
        </w:rPr>
      </w:pPr>
      <w:r>
        <w:rPr>
          <w:rFonts w:hint="eastAsia" w:ascii="楷体" w:hAnsi="楷体" w:eastAsia="楷体" w:cs="楷体"/>
          <w:b w:val="0"/>
          <w:bCs/>
          <w:i w:val="0"/>
          <w:caps w:val="0"/>
          <w:color w:val="FF0000"/>
          <w:spacing w:val="8"/>
          <w:sz w:val="36"/>
          <w:szCs w:val="36"/>
          <w:shd w:val="clear" w:fill="FFFFFF"/>
          <w:lang w:val="en-US" w:eastAsia="zh-CN"/>
        </w:rPr>
        <w:t>与</w:t>
      </w:r>
      <w:r>
        <w:rPr>
          <w:rFonts w:hint="eastAsia" w:ascii="楷体" w:hAnsi="楷体" w:eastAsia="楷体" w:cs="楷体"/>
          <w:b w:val="0"/>
          <w:bCs/>
          <w:i w:val="0"/>
          <w:caps w:val="0"/>
          <w:color w:val="FF0000"/>
          <w:spacing w:val="8"/>
          <w:sz w:val="36"/>
          <w:szCs w:val="36"/>
          <w:shd w:val="clear" w:fill="FFFFFF"/>
        </w:rPr>
        <w:t>资本运营高级研修班</w:t>
      </w:r>
    </w:p>
    <w:p>
      <w:pPr>
        <w:widowControl/>
        <w:shd w:val="clear" w:color="auto" w:fill="FFFFFF"/>
        <w:spacing w:line="480" w:lineRule="exact"/>
        <w:jc w:val="center"/>
        <w:rPr>
          <w:rFonts w:ascii="微软雅黑" w:hAnsi="微软雅黑" w:eastAsia="微软雅黑" w:cs="宋体"/>
          <w:color w:val="3E3E3E"/>
          <w:kern w:val="0"/>
          <w:sz w:val="24"/>
          <w:szCs w:val="24"/>
        </w:rPr>
      </w:pPr>
      <w:r>
        <w:rPr>
          <w:rFonts w:hint="eastAsia" w:ascii="宋体" w:hAnsi="宋体" w:eastAsia="宋体" w:cs="宋体"/>
          <w:b/>
          <w:bCs/>
          <w:color w:val="3E3E3E"/>
          <w:kern w:val="0"/>
          <w:sz w:val="24"/>
          <w:szCs w:val="24"/>
        </w:rPr>
        <w:t>汇集中西文化精粹，实现智慧创新</w:t>
      </w:r>
      <w:r>
        <w:rPr>
          <w:rFonts w:hint="eastAsia" w:ascii="宋体" w:hAnsi="宋体" w:eastAsia="宋体" w:cs="宋体"/>
          <w:b/>
          <w:bCs/>
          <w:color w:val="3E3E3E"/>
          <w:kern w:val="0"/>
          <w:sz w:val="24"/>
          <w:szCs w:val="24"/>
          <w:lang w:val="en-US" w:eastAsia="zh-CN"/>
        </w:rPr>
        <w:t>资本</w:t>
      </w:r>
      <w:r>
        <w:rPr>
          <w:rFonts w:hint="eastAsia" w:ascii="宋体" w:hAnsi="宋体" w:eastAsia="宋体" w:cs="宋体"/>
          <w:b/>
          <w:bCs/>
          <w:color w:val="3E3E3E"/>
          <w:kern w:val="0"/>
          <w:sz w:val="24"/>
          <w:szCs w:val="24"/>
        </w:rPr>
        <w:t>，培养造就杰出企业家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hAnsi="宋体" w:eastAsia="宋体" w:cs="宋体" w:asciiTheme="majorAscii"/>
          <w:b w:val="0"/>
          <w:bCs w:val="0"/>
          <w:color w:val="000000" w:themeColor="text1"/>
          <w:kern w:val="0"/>
          <w:sz w:val="24"/>
          <w:szCs w:val="24"/>
        </w:rPr>
      </w:pPr>
      <w:r>
        <w:rPr>
          <w:rFonts w:hint="eastAsia" w:hAnsi="宋体" w:cs="宋体" w:asciiTheme="majorAscii"/>
          <w:b w:val="0"/>
          <w:bCs w:val="0"/>
          <w:sz w:val="24"/>
          <w:szCs w:val="24"/>
        </w:rPr>
        <w:t>根植于改革开放四十年来的伟大实践，秉承北京大学深厚的人文底蕴，汇聚最前沿、最精髓的管理智慧，倾力打造新时代</w:t>
      </w:r>
      <w:r>
        <w:rPr>
          <w:rFonts w:hint="eastAsia" w:hAnsi="宋体" w:cs="宋体" w:asciiTheme="majorAscii"/>
          <w:b w:val="0"/>
          <w:bCs w:val="0"/>
          <w:sz w:val="24"/>
          <w:szCs w:val="24"/>
          <w:lang w:val="en-US" w:eastAsia="zh-CN"/>
        </w:rPr>
        <w:t>资本运营管理课程</w:t>
      </w:r>
      <w:r>
        <w:rPr>
          <w:rFonts w:hint="eastAsia" w:hAnsi="宋体" w:cs="宋体" w:asciiTheme="majorAscii"/>
          <w:b w:val="0"/>
          <w:bCs w:val="0"/>
          <w:sz w:val="24"/>
          <w:szCs w:val="24"/>
          <w:lang w:eastAsia="zh-CN"/>
        </w:rPr>
        <w:t>，赋能</w:t>
      </w:r>
      <w:r>
        <w:rPr>
          <w:rFonts w:hint="eastAsia" w:hAnsi="宋体" w:cs="宋体" w:asciiTheme="majorAscii"/>
          <w:b w:val="0"/>
          <w:bCs w:val="0"/>
          <w:sz w:val="24"/>
          <w:szCs w:val="24"/>
        </w:rPr>
        <w:t>新时代中国经济领跑者</w:t>
      </w:r>
      <w:r>
        <w:rPr>
          <w:rFonts w:hint="eastAsia" w:hAnsi="宋体" w:cs="宋体" w:asciiTheme="majorAscii"/>
          <w:b w:val="0"/>
          <w:bCs w:val="0"/>
          <w:sz w:val="24"/>
          <w:szCs w:val="24"/>
          <w:lang w:eastAsia="zh-CN"/>
        </w:rPr>
        <w:t>，建设优秀</w:t>
      </w:r>
      <w:r>
        <w:rPr>
          <w:rFonts w:hint="eastAsia" w:hAnsi="宋体" w:cs="宋体" w:asciiTheme="majorAscii"/>
          <w:b w:val="0"/>
          <w:bCs w:val="0"/>
          <w:sz w:val="24"/>
          <w:szCs w:val="24"/>
        </w:rPr>
        <w:t>企业家终身学习平台。</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240" w:firstLineChars="100"/>
        <w:jc w:val="left"/>
        <w:textAlignment w:val="auto"/>
        <w:rPr>
          <w:rFonts w:hint="eastAsia" w:hAnsi="宋体" w:eastAsia="宋体" w:cs="宋体" w:asciiTheme="majorAscii"/>
          <w:b w:val="0"/>
          <w:bCs w:val="0"/>
          <w:color w:val="000000" w:themeColor="text1"/>
          <w:kern w:val="0"/>
          <w:sz w:val="24"/>
          <w:szCs w:val="24"/>
        </w:rPr>
      </w:pPr>
      <w:r>
        <w:rPr>
          <w:rFonts w:hint="eastAsia" w:hAnsi="宋体" w:eastAsia="宋体" w:cs="宋体" w:asciiTheme="majorAscii"/>
          <w:b w:val="0"/>
          <w:bCs w:val="0"/>
          <w:color w:val="000000" w:themeColor="text1"/>
          <w:kern w:val="0"/>
          <w:sz w:val="24"/>
          <w:szCs w:val="24"/>
        </w:rPr>
        <w:t>从2018年国际变局来看，2019年也必将是个变革中求平衡、危机中求稳健、动态中求发展的时代，中国经济的平稳发展仍就牵引着世界的神经，外部压力也将会呈现多维度、多层面、多棱角、散点式向多结构、多系统、集中型、一体化方向发展的态势，这对中国企业家的信心和战胜困难的勇气将是一个严峻的挑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240" w:firstLineChars="100"/>
        <w:jc w:val="left"/>
        <w:textAlignment w:val="auto"/>
        <w:rPr>
          <w:rFonts w:hint="eastAsia" w:hAnsi="宋体" w:eastAsia="宋体" w:cs="宋体" w:asciiTheme="majorAscii"/>
          <w:b w:val="0"/>
          <w:bCs w:val="0"/>
          <w:color w:val="000000" w:themeColor="text1"/>
          <w:kern w:val="0"/>
          <w:sz w:val="24"/>
          <w:szCs w:val="24"/>
        </w:rPr>
      </w:pPr>
      <w:r>
        <w:rPr>
          <w:rFonts w:hint="eastAsia" w:hAnsi="宋体" w:eastAsia="宋体" w:cs="宋体" w:asciiTheme="majorAscii"/>
          <w:b w:val="0"/>
          <w:bCs w:val="0"/>
          <w:color w:val="000000" w:themeColor="text1"/>
          <w:kern w:val="0"/>
          <w:sz w:val="24"/>
          <w:szCs w:val="24"/>
        </w:rPr>
        <w:t>要站在时代前沿，中国的企业领袖，必须通过系统的学习，纵览全球经济大局，细梳中国企业现状，结合全球顶尖的企业</w:t>
      </w:r>
      <w:r>
        <w:rPr>
          <w:rFonts w:hint="eastAsia" w:hAnsi="宋体" w:eastAsia="宋体" w:cs="宋体" w:asciiTheme="majorAscii"/>
          <w:b w:val="0"/>
          <w:bCs w:val="0"/>
          <w:color w:val="000000" w:themeColor="text1"/>
          <w:kern w:val="0"/>
          <w:sz w:val="24"/>
          <w:szCs w:val="24"/>
          <w:lang w:val="en-US" w:eastAsia="zh-CN"/>
        </w:rPr>
        <w:t>资本运营</w:t>
      </w:r>
      <w:r>
        <w:rPr>
          <w:rFonts w:hint="eastAsia" w:hAnsi="宋体" w:eastAsia="宋体" w:cs="宋体" w:asciiTheme="majorAscii"/>
          <w:b w:val="0"/>
          <w:bCs w:val="0"/>
          <w:color w:val="000000" w:themeColor="text1"/>
          <w:kern w:val="0"/>
          <w:sz w:val="24"/>
          <w:szCs w:val="24"/>
        </w:rPr>
        <w:t>管理理念和中国本土企业</w:t>
      </w:r>
      <w:r>
        <w:rPr>
          <w:rFonts w:hint="eastAsia" w:hAnsi="宋体" w:eastAsia="宋体" w:cs="宋体" w:asciiTheme="majorAscii"/>
          <w:b w:val="0"/>
          <w:bCs w:val="0"/>
          <w:color w:val="000000" w:themeColor="text1"/>
          <w:kern w:val="0"/>
          <w:sz w:val="24"/>
          <w:szCs w:val="24"/>
          <w:lang w:val="en-US" w:eastAsia="zh-CN"/>
        </w:rPr>
        <w:t>资本</w:t>
      </w:r>
      <w:r>
        <w:rPr>
          <w:rFonts w:hint="eastAsia" w:hAnsi="宋体" w:eastAsia="宋体" w:cs="宋体" w:asciiTheme="majorAscii"/>
          <w:b w:val="0"/>
          <w:bCs w:val="0"/>
          <w:color w:val="000000" w:themeColor="text1"/>
          <w:kern w:val="0"/>
          <w:sz w:val="24"/>
          <w:szCs w:val="24"/>
        </w:rPr>
        <w:t>管理方法，对个人以及企业进行全面的提升。</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680000"/>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color w:val="680000"/>
          <w:kern w:val="0"/>
          <w:sz w:val="24"/>
          <w:szCs w:val="24"/>
        </w:rPr>
      </w:pPr>
      <w:r>
        <w:rPr>
          <w:rFonts w:hint="eastAsia" w:ascii="宋体" w:hAnsi="宋体" w:eastAsia="宋体" w:cs="宋体"/>
          <w:b w:val="0"/>
          <w:bCs w:val="0"/>
          <w:color w:val="680000"/>
          <w:kern w:val="0"/>
          <w:sz w:val="24"/>
          <w:szCs w:val="24"/>
        </w:rPr>
        <w:t>【课程特色】</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240" w:firstLineChars="10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1、学习重点突出，围绕</w:t>
      </w:r>
      <w:r>
        <w:rPr>
          <w:rFonts w:hint="eastAsia" w:ascii="宋体" w:hAnsi="宋体" w:eastAsia="宋体" w:cs="宋体"/>
          <w:b w:val="0"/>
          <w:bCs w:val="0"/>
          <w:color w:val="000000" w:themeColor="text1"/>
          <w:kern w:val="0"/>
          <w:sz w:val="24"/>
          <w:szCs w:val="24"/>
          <w:lang w:val="en-US" w:eastAsia="zh-CN"/>
        </w:rPr>
        <w:t>中外</w:t>
      </w:r>
      <w:r>
        <w:rPr>
          <w:rFonts w:hint="eastAsia" w:ascii="宋体" w:hAnsi="宋体" w:eastAsia="宋体" w:cs="宋体"/>
          <w:b w:val="0"/>
          <w:bCs w:val="0"/>
          <w:color w:val="000000" w:themeColor="text1"/>
          <w:kern w:val="0"/>
          <w:sz w:val="24"/>
          <w:szCs w:val="24"/>
        </w:rPr>
        <w:t>企业</w:t>
      </w:r>
      <w:r>
        <w:rPr>
          <w:rFonts w:hint="eastAsia" w:ascii="宋体" w:hAnsi="宋体" w:eastAsia="宋体" w:cs="宋体"/>
          <w:b w:val="0"/>
          <w:bCs w:val="0"/>
          <w:color w:val="000000" w:themeColor="text1"/>
          <w:kern w:val="0"/>
          <w:sz w:val="24"/>
          <w:szCs w:val="24"/>
          <w:lang w:val="en-US" w:eastAsia="zh-CN"/>
        </w:rPr>
        <w:t>投融资</w:t>
      </w:r>
      <w:r>
        <w:rPr>
          <w:rFonts w:hint="eastAsia" w:ascii="宋体" w:hAnsi="宋体" w:eastAsia="宋体" w:cs="宋体"/>
          <w:b w:val="0"/>
          <w:bCs w:val="0"/>
          <w:color w:val="000000" w:themeColor="text1"/>
          <w:kern w:val="0"/>
          <w:sz w:val="24"/>
          <w:szCs w:val="24"/>
        </w:rPr>
        <w:t>战略开展课程的设计和学习。</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2、课程融会</w:t>
      </w:r>
      <w:r>
        <w:rPr>
          <w:rFonts w:hint="eastAsia" w:ascii="宋体" w:hAnsi="宋体" w:eastAsia="宋体" w:cs="宋体"/>
          <w:b w:val="0"/>
          <w:bCs w:val="0"/>
          <w:color w:val="000000" w:themeColor="text1"/>
          <w:kern w:val="0"/>
          <w:sz w:val="24"/>
          <w:szCs w:val="24"/>
          <w:lang w:val="en-US" w:eastAsia="zh-CN"/>
        </w:rPr>
        <w:t>中</w:t>
      </w:r>
      <w:r>
        <w:rPr>
          <w:rFonts w:hint="eastAsia" w:ascii="宋体" w:hAnsi="宋体" w:eastAsia="宋体" w:cs="宋体"/>
          <w:b w:val="0"/>
          <w:bCs w:val="0"/>
          <w:color w:val="000000" w:themeColor="text1"/>
          <w:kern w:val="0"/>
          <w:sz w:val="24"/>
          <w:szCs w:val="24"/>
        </w:rPr>
        <w:t>西方现代</w:t>
      </w:r>
      <w:r>
        <w:rPr>
          <w:rFonts w:hint="eastAsia" w:ascii="宋体" w:hAnsi="宋体" w:eastAsia="宋体" w:cs="宋体"/>
          <w:b w:val="0"/>
          <w:bCs w:val="0"/>
          <w:color w:val="000000" w:themeColor="text1"/>
          <w:kern w:val="0"/>
          <w:sz w:val="24"/>
          <w:szCs w:val="24"/>
          <w:lang w:val="en-US" w:eastAsia="zh-CN"/>
        </w:rPr>
        <w:t>投融资略</w:t>
      </w:r>
      <w:r>
        <w:rPr>
          <w:rFonts w:hint="eastAsia" w:ascii="宋体" w:hAnsi="宋体" w:eastAsia="宋体" w:cs="宋体"/>
          <w:b w:val="0"/>
          <w:bCs w:val="0"/>
          <w:color w:val="000000" w:themeColor="text1"/>
          <w:kern w:val="0"/>
          <w:sz w:val="24"/>
          <w:szCs w:val="24"/>
        </w:rPr>
        <w:t>理念相结合，帮助企业家开阔思路，，解析经营之道，增强企业</w:t>
      </w:r>
      <w:r>
        <w:rPr>
          <w:rFonts w:hint="eastAsia" w:ascii="宋体" w:hAnsi="宋体" w:eastAsia="宋体" w:cs="宋体"/>
          <w:b w:val="0"/>
          <w:bCs w:val="0"/>
          <w:color w:val="000000" w:themeColor="text1"/>
          <w:kern w:val="0"/>
          <w:sz w:val="24"/>
          <w:szCs w:val="24"/>
          <w:lang w:val="en-US" w:eastAsia="zh-CN"/>
        </w:rPr>
        <w:t>资本市场的</w:t>
      </w:r>
      <w:r>
        <w:rPr>
          <w:rFonts w:hint="eastAsia" w:ascii="宋体" w:hAnsi="宋体" w:eastAsia="宋体" w:cs="宋体"/>
          <w:b w:val="0"/>
          <w:bCs w:val="0"/>
          <w:color w:val="000000" w:themeColor="text1"/>
          <w:kern w:val="0"/>
          <w:sz w:val="24"/>
          <w:szCs w:val="24"/>
        </w:rPr>
        <w:t>核心竞争力。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3、引进国外先进的EDP教学理念，采取案例教学、学员互动的授课模式，本着提高实战能力的要求，为企业经营战略把脉。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color w:val="680000"/>
          <w:kern w:val="0"/>
          <w:sz w:val="24"/>
          <w:szCs w:val="24"/>
        </w:rPr>
      </w:pPr>
      <w:r>
        <w:rPr>
          <w:rFonts w:hint="eastAsia" w:ascii="宋体" w:hAnsi="宋体" w:eastAsia="宋体" w:cs="宋体"/>
          <w:b w:val="0"/>
          <w:bCs w:val="0"/>
          <w:color w:val="680000"/>
          <w:kern w:val="0"/>
          <w:sz w:val="24"/>
          <w:szCs w:val="24"/>
        </w:rPr>
        <w:t>【学习收益】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3E3E3E"/>
          <w:kern w:val="0"/>
          <w:sz w:val="24"/>
          <w:szCs w:val="24"/>
        </w:rPr>
        <w:t>1、</w:t>
      </w:r>
      <w:r>
        <w:rPr>
          <w:rFonts w:hint="eastAsia" w:ascii="宋体" w:hAnsi="宋体" w:eastAsia="宋体" w:cs="宋体"/>
          <w:b w:val="0"/>
          <w:bCs w:val="0"/>
          <w:color w:val="000000" w:themeColor="text1"/>
          <w:kern w:val="0"/>
          <w:sz w:val="24"/>
          <w:szCs w:val="24"/>
        </w:rPr>
        <w:t>培养企业领导者在知识经济条件下参与国内外竞争的创新意识和变革能力，全面掌握企业</w:t>
      </w:r>
      <w:r>
        <w:rPr>
          <w:rFonts w:hint="eastAsia" w:ascii="宋体" w:hAnsi="宋体" w:eastAsia="宋体" w:cs="宋体"/>
          <w:b w:val="0"/>
          <w:bCs w:val="0"/>
          <w:color w:val="000000" w:themeColor="text1"/>
          <w:kern w:val="0"/>
          <w:sz w:val="24"/>
          <w:szCs w:val="24"/>
          <w:lang w:val="en-US" w:eastAsia="zh-CN"/>
        </w:rPr>
        <w:t>资本</w:t>
      </w:r>
      <w:r>
        <w:rPr>
          <w:rFonts w:hint="eastAsia" w:ascii="宋体" w:hAnsi="宋体" w:eastAsia="宋体" w:cs="宋体"/>
          <w:b w:val="0"/>
          <w:bCs w:val="0"/>
          <w:color w:val="000000" w:themeColor="text1"/>
          <w:kern w:val="0"/>
          <w:sz w:val="24"/>
          <w:szCs w:val="24"/>
        </w:rPr>
        <w:t>战略和实战技能；</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2、师从</w:t>
      </w:r>
      <w:r>
        <w:rPr>
          <w:rFonts w:hint="eastAsia" w:ascii="宋体" w:hAnsi="宋体" w:eastAsia="宋体" w:cs="宋体"/>
          <w:b w:val="0"/>
          <w:bCs w:val="0"/>
          <w:color w:val="000000" w:themeColor="text1"/>
          <w:kern w:val="0"/>
          <w:sz w:val="24"/>
          <w:szCs w:val="24"/>
          <w:lang w:val="en-US" w:eastAsia="zh-CN"/>
        </w:rPr>
        <w:t>北京大学</w:t>
      </w:r>
      <w:r>
        <w:rPr>
          <w:rFonts w:hint="eastAsia" w:ascii="宋体" w:hAnsi="宋体" w:eastAsia="宋体" w:cs="宋体"/>
          <w:b w:val="0"/>
          <w:bCs w:val="0"/>
          <w:color w:val="000000" w:themeColor="text1"/>
          <w:kern w:val="0"/>
          <w:sz w:val="24"/>
          <w:szCs w:val="24"/>
        </w:rPr>
        <w:t>著名教授、</w:t>
      </w:r>
      <w:r>
        <w:rPr>
          <w:rFonts w:hint="eastAsia" w:ascii="宋体" w:hAnsi="宋体" w:eastAsia="宋体" w:cs="宋体"/>
          <w:b w:val="0"/>
          <w:bCs w:val="0"/>
          <w:color w:val="000000" w:themeColor="text1"/>
          <w:kern w:val="0"/>
          <w:sz w:val="24"/>
          <w:szCs w:val="24"/>
          <w:lang w:val="en-US" w:eastAsia="zh-CN"/>
        </w:rPr>
        <w:t>中国</w:t>
      </w:r>
      <w:r>
        <w:rPr>
          <w:rFonts w:hint="eastAsia" w:ascii="宋体" w:hAnsi="宋体" w:eastAsia="宋体" w:cs="宋体"/>
          <w:b w:val="0"/>
          <w:bCs w:val="0"/>
          <w:color w:val="000000" w:themeColor="text1"/>
          <w:kern w:val="0"/>
          <w:sz w:val="24"/>
          <w:szCs w:val="24"/>
        </w:rPr>
        <w:t>知名企业家和国学大师，站在巨人的肩膀上思考，看得更远，走得更长；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3、与企业家学友建立广阔的交流平台，建立高端的人脉网络，为企业家之间的合作提供无限商机；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4、打造最具活力、契合点的同学经济体，整合全国各地精英同学资源，终身受益；成总裁联盟，以“学习、提升、真诚、合作、共赢”为联盟宗旨，增进学员交流、提升企业竞争力。</w:t>
      </w:r>
    </w:p>
    <w:p>
      <w:pPr>
        <w:widowControl/>
        <w:shd w:val="clear" w:color="auto" w:fill="FFFFFF"/>
        <w:spacing w:line="480" w:lineRule="atLeast"/>
        <w:jc w:val="left"/>
        <w:rPr>
          <w:rFonts w:hint="eastAsia" w:ascii="宋体" w:hAnsi="宋体" w:eastAsia="宋体" w:cs="宋体"/>
          <w:b/>
          <w:bCs/>
          <w:color w:val="680000"/>
          <w:kern w:val="0"/>
          <w:sz w:val="24"/>
          <w:szCs w:val="24"/>
        </w:rPr>
      </w:pPr>
    </w:p>
    <w:p>
      <w:pPr>
        <w:widowControl/>
        <w:shd w:val="clear" w:color="auto" w:fill="FFFFFF"/>
        <w:spacing w:line="480" w:lineRule="atLeast"/>
        <w:jc w:val="left"/>
        <w:rPr>
          <w:rFonts w:hint="eastAsia" w:ascii="宋体" w:hAnsi="宋体" w:eastAsia="宋体" w:cs="宋体"/>
          <w:b/>
          <w:bCs/>
          <w:color w:val="680000"/>
          <w:kern w:val="0"/>
          <w:sz w:val="24"/>
          <w:szCs w:val="24"/>
        </w:rPr>
      </w:pPr>
    </w:p>
    <w:p>
      <w:pPr>
        <w:widowControl/>
        <w:shd w:val="clear" w:color="auto" w:fill="FFFFFF"/>
        <w:spacing w:line="480" w:lineRule="atLeast"/>
        <w:jc w:val="left"/>
        <w:rPr>
          <w:rFonts w:ascii="微软雅黑" w:hAnsi="微软雅黑" w:eastAsia="微软雅黑" w:cs="宋体"/>
          <w:color w:val="680000"/>
          <w:kern w:val="0"/>
          <w:sz w:val="24"/>
          <w:szCs w:val="24"/>
        </w:rPr>
      </w:pPr>
      <w:r>
        <w:rPr>
          <w:rFonts w:hint="eastAsia" w:ascii="宋体" w:hAnsi="宋体" w:eastAsia="宋体" w:cs="宋体"/>
          <w:b/>
          <w:bCs/>
          <w:color w:val="680000"/>
          <w:kern w:val="0"/>
          <w:sz w:val="24"/>
          <w:szCs w:val="24"/>
        </w:rPr>
        <w:t>【课程设置】</w:t>
      </w:r>
    </w:p>
    <w:tbl>
      <w:tblPr>
        <w:tblStyle w:val="7"/>
        <w:tblpPr w:leftFromText="180" w:rightFromText="180" w:vertAnchor="text" w:horzAnchor="page" w:tblpX="1126" w:tblpY="627"/>
        <w:tblOverlap w:val="never"/>
        <w:tblW w:w="9886" w:type="dxa"/>
        <w:tblInd w:w="0" w:type="dxa"/>
        <w:shd w:val="clear" w:color="auto" w:fill="FFFFFF"/>
        <w:tblLayout w:type="fixed"/>
        <w:tblCellMar>
          <w:top w:w="0" w:type="dxa"/>
          <w:left w:w="0" w:type="dxa"/>
          <w:bottom w:w="0" w:type="dxa"/>
          <w:right w:w="0" w:type="dxa"/>
        </w:tblCellMar>
      </w:tblPr>
      <w:tblGrid>
        <w:gridCol w:w="3224"/>
        <w:gridCol w:w="3118"/>
        <w:gridCol w:w="3544"/>
      </w:tblGrid>
      <w:tr>
        <w:tblPrEx>
          <w:shd w:val="clear" w:color="auto" w:fill="FFFFFF"/>
          <w:tblLayout w:type="fixed"/>
          <w:tblCellMar>
            <w:top w:w="0" w:type="dxa"/>
            <w:left w:w="0" w:type="dxa"/>
            <w:bottom w:w="0" w:type="dxa"/>
            <w:right w:w="0" w:type="dxa"/>
          </w:tblCellMar>
        </w:tblPrEx>
        <w:trPr>
          <w:cantSplit/>
          <w:trHeight w:val="405" w:hRule="atLeast"/>
        </w:trPr>
        <w:tc>
          <w:tcPr>
            <w:tcW w:w="9886"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85" w:lineRule="atLeast"/>
              <w:jc w:val="center"/>
              <w:rPr>
                <w:rFonts w:hint="default" w:ascii="微软雅黑" w:hAnsi="微软雅黑" w:eastAsia="宋体" w:cs="宋体"/>
                <w:color w:val="680000"/>
                <w:kern w:val="0"/>
                <w:sz w:val="24"/>
                <w:szCs w:val="24"/>
                <w:lang w:val="en-US" w:eastAsia="zh-CN"/>
              </w:rPr>
            </w:pPr>
            <w:r>
              <w:rPr>
                <w:rFonts w:hint="eastAsia" w:ascii="宋体" w:hAnsi="宋体" w:eastAsia="宋体" w:cs="宋体"/>
                <w:b/>
                <w:bCs/>
                <w:color w:val="680000"/>
                <w:kern w:val="0"/>
                <w:sz w:val="24"/>
                <w:szCs w:val="24"/>
              </w:rPr>
              <w:t>第一层次：</w:t>
            </w:r>
            <w:r>
              <w:rPr>
                <w:rFonts w:hint="eastAsia" w:ascii="宋体" w:hAnsi="宋体" w:eastAsia="宋体" w:cs="宋体"/>
                <w:b/>
                <w:bCs/>
                <w:color w:val="680000"/>
                <w:kern w:val="0"/>
                <w:sz w:val="24"/>
                <w:szCs w:val="24"/>
                <w:lang w:val="en-US" w:eastAsia="zh-CN"/>
              </w:rPr>
              <w:t>宏观经济与战略经营</w:t>
            </w:r>
          </w:p>
        </w:tc>
      </w:tr>
      <w:tr>
        <w:tblPrEx>
          <w:tblLayout w:type="fixed"/>
          <w:tblCellMar>
            <w:top w:w="0" w:type="dxa"/>
            <w:left w:w="0" w:type="dxa"/>
            <w:bottom w:w="0" w:type="dxa"/>
            <w:right w:w="0" w:type="dxa"/>
          </w:tblCellMar>
        </w:tblPrEx>
        <w:trPr>
          <w:cantSplit/>
          <w:trHeight w:val="240"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企业发展管理</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战略营销</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企业创新经营</w:t>
            </w:r>
          </w:p>
        </w:tc>
      </w:tr>
      <w:tr>
        <w:tblPrEx>
          <w:tblLayout w:type="fixed"/>
          <w:tblCellMar>
            <w:top w:w="0" w:type="dxa"/>
            <w:left w:w="0" w:type="dxa"/>
            <w:bottom w:w="0" w:type="dxa"/>
            <w:right w:w="0" w:type="dxa"/>
          </w:tblCellMar>
        </w:tblPrEx>
        <w:trPr>
          <w:cantSplit/>
          <w:trHeight w:val="1275"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宏观经济形势及政策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资本市场企业生存法则</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国际金融体系的新趋势</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国际国内私募市场环境</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企业发展战略模式的选择</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产品市场定位</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分销通路设计和管理</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价格策略的战术运用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客户关系管理与维护</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广告、促销与媒体关系</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经营战略在企业中的误区</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经营与管理的区别</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企业经营的观念创新</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知识管理与知本创新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信息化与电子商务创新</w:t>
            </w:r>
          </w:p>
        </w:tc>
      </w:tr>
      <w:tr>
        <w:tblPrEx>
          <w:tblLayout w:type="fixed"/>
          <w:tblCellMar>
            <w:top w:w="0" w:type="dxa"/>
            <w:left w:w="0" w:type="dxa"/>
            <w:bottom w:w="0" w:type="dxa"/>
            <w:right w:w="0" w:type="dxa"/>
          </w:tblCellMar>
        </w:tblPrEx>
        <w:trPr>
          <w:cantSplit/>
          <w:trHeight w:val="269" w:hRule="atLeast"/>
        </w:trPr>
        <w:tc>
          <w:tcPr>
            <w:tcW w:w="9886"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85" w:lineRule="atLeast"/>
              <w:jc w:val="center"/>
              <w:rPr>
                <w:rFonts w:hint="default" w:ascii="微软雅黑" w:hAnsi="微软雅黑" w:eastAsia="宋体" w:cs="宋体"/>
                <w:color w:val="680000"/>
                <w:kern w:val="0"/>
                <w:sz w:val="24"/>
                <w:szCs w:val="24"/>
                <w:lang w:val="en-US" w:eastAsia="zh-CN"/>
              </w:rPr>
            </w:pPr>
            <w:r>
              <w:rPr>
                <w:rFonts w:hint="eastAsia" w:ascii="宋体" w:hAnsi="宋体" w:eastAsia="宋体" w:cs="宋体"/>
                <w:b/>
                <w:bCs/>
                <w:color w:val="680000"/>
                <w:kern w:val="0"/>
                <w:sz w:val="24"/>
                <w:szCs w:val="24"/>
              </w:rPr>
              <w:t>第二层次：</w:t>
            </w:r>
            <w:r>
              <w:rPr>
                <w:rFonts w:hint="eastAsia" w:ascii="宋体" w:hAnsi="宋体" w:eastAsia="宋体" w:cs="宋体"/>
                <w:b/>
                <w:bCs/>
                <w:color w:val="680000"/>
                <w:kern w:val="0"/>
                <w:sz w:val="24"/>
                <w:szCs w:val="24"/>
                <w:lang w:val="en-US" w:eastAsia="zh-CN"/>
              </w:rPr>
              <w:t>公司治理与领导力</w:t>
            </w:r>
          </w:p>
        </w:tc>
      </w:tr>
      <w:tr>
        <w:tblPrEx>
          <w:tblLayout w:type="fixed"/>
          <w:tblCellMar>
            <w:top w:w="0" w:type="dxa"/>
            <w:left w:w="0" w:type="dxa"/>
            <w:bottom w:w="0" w:type="dxa"/>
            <w:right w:w="0" w:type="dxa"/>
          </w:tblCellMar>
        </w:tblPrEx>
        <w:trPr>
          <w:cantSplit/>
          <w:trHeight w:val="360"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公司治理结构</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企业员工的执行力</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企业高层领导力</w:t>
            </w:r>
          </w:p>
        </w:tc>
      </w:tr>
      <w:tr>
        <w:tblPrEx>
          <w:tblLayout w:type="fixed"/>
          <w:tblCellMar>
            <w:top w:w="0" w:type="dxa"/>
            <w:left w:w="0" w:type="dxa"/>
            <w:bottom w:w="0" w:type="dxa"/>
            <w:right w:w="0" w:type="dxa"/>
          </w:tblCellMar>
        </w:tblPrEx>
        <w:trPr>
          <w:cantSplit/>
          <w:trHeight w:val="1245"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公司产权结构分析</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中小企业制度创新</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组织变革与流程再造</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权利制衡与科学决策</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公司治理与董事会</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员工持股与薪酬设计</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员工的激励与绩效考核</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如何选人、育人、用人、留人</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岗位分析与组织设计</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职业生涯规划</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领导者的角色认知</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领导者的领导艺术</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领导者的情商与变革能力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团队管理与潜能开发</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思维创新与领导力开发</w:t>
            </w:r>
          </w:p>
        </w:tc>
      </w:tr>
      <w:tr>
        <w:tblPrEx>
          <w:tblLayout w:type="fixed"/>
          <w:tblCellMar>
            <w:top w:w="0" w:type="dxa"/>
            <w:left w:w="0" w:type="dxa"/>
            <w:bottom w:w="0" w:type="dxa"/>
            <w:right w:w="0" w:type="dxa"/>
          </w:tblCellMar>
        </w:tblPrEx>
        <w:trPr>
          <w:cantSplit/>
          <w:trHeight w:val="420" w:hRule="atLeast"/>
        </w:trPr>
        <w:tc>
          <w:tcPr>
            <w:tcW w:w="9886"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exact"/>
              <w:jc w:val="center"/>
              <w:rPr>
                <w:rFonts w:hint="default" w:ascii="微软雅黑" w:hAnsi="微软雅黑" w:eastAsia="宋体" w:cs="宋体"/>
                <w:color w:val="680000"/>
                <w:kern w:val="0"/>
                <w:sz w:val="24"/>
                <w:szCs w:val="24"/>
                <w:lang w:val="en-US" w:eastAsia="zh-CN"/>
              </w:rPr>
            </w:pPr>
            <w:r>
              <w:rPr>
                <w:rFonts w:hint="eastAsia" w:ascii="宋体" w:hAnsi="宋体" w:eastAsia="宋体" w:cs="宋体"/>
                <w:b/>
                <w:bCs/>
                <w:color w:val="680000"/>
                <w:kern w:val="0"/>
                <w:sz w:val="24"/>
                <w:szCs w:val="24"/>
              </w:rPr>
              <w:t>第三层次：</w:t>
            </w:r>
            <w:r>
              <w:rPr>
                <w:rFonts w:hint="eastAsia" w:ascii="宋体" w:hAnsi="宋体" w:eastAsia="宋体" w:cs="宋体"/>
                <w:b/>
                <w:bCs/>
                <w:color w:val="680000"/>
                <w:kern w:val="0"/>
                <w:sz w:val="24"/>
                <w:szCs w:val="24"/>
                <w:lang w:val="en-US" w:eastAsia="zh-CN"/>
              </w:rPr>
              <w:t>投融资与资本运作</w:t>
            </w:r>
          </w:p>
        </w:tc>
      </w:tr>
      <w:tr>
        <w:tblPrEx>
          <w:tblLayout w:type="fixed"/>
          <w:tblCellMar>
            <w:top w:w="0" w:type="dxa"/>
            <w:left w:w="0" w:type="dxa"/>
            <w:bottom w:w="0" w:type="dxa"/>
            <w:right w:w="0" w:type="dxa"/>
          </w:tblCellMar>
        </w:tblPrEx>
        <w:trPr>
          <w:cantSplit/>
          <w:trHeight w:val="330"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私募投资基金的设立</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区域经济与城市运营</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融资渠道</w:t>
            </w:r>
          </w:p>
        </w:tc>
      </w:tr>
      <w:tr>
        <w:tblPrEx>
          <w:tblLayout w:type="fixed"/>
          <w:tblCellMar>
            <w:top w:w="0" w:type="dxa"/>
            <w:left w:w="0" w:type="dxa"/>
            <w:bottom w:w="0" w:type="dxa"/>
            <w:right w:w="0" w:type="dxa"/>
          </w:tblCellMar>
        </w:tblPrEx>
        <w:trPr>
          <w:cantSplit/>
          <w:trHeight w:val="390"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私募基金营运</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私募基金的投资与管理</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设立私募基金的金融实务问题</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基金项目投资后管理及风险管理</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私募股权投资基金的一般法律问题</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区域经济与市场需求分析</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土地价值评估</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科学风水观与项目开发</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区域发展战略与规划</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城市经济运行与发展</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新金融环境下的房地产企业与银行关系</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融资全球化与渠道建立</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银行信贷与民间资本</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直接融资与间接融资</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如何利用资本市场提升企业价值</w:t>
            </w:r>
          </w:p>
        </w:tc>
      </w:tr>
      <w:tr>
        <w:tblPrEx>
          <w:tblLayout w:type="fixed"/>
          <w:tblCellMar>
            <w:top w:w="0" w:type="dxa"/>
            <w:left w:w="0" w:type="dxa"/>
            <w:bottom w:w="0" w:type="dxa"/>
            <w:right w:w="0" w:type="dxa"/>
          </w:tblCellMar>
        </w:tblPrEx>
        <w:trPr>
          <w:cantSplit/>
          <w:trHeight w:val="435" w:hRule="atLeast"/>
        </w:trPr>
        <w:tc>
          <w:tcPr>
            <w:tcW w:w="9886"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680000"/>
                <w:kern w:val="0"/>
                <w:sz w:val="24"/>
                <w:szCs w:val="24"/>
              </w:rPr>
            </w:pPr>
            <w:r>
              <w:rPr>
                <w:rFonts w:hint="eastAsia" w:ascii="宋体" w:hAnsi="宋体" w:eastAsia="宋体" w:cs="宋体"/>
                <w:b/>
                <w:bCs/>
                <w:color w:val="680000"/>
                <w:kern w:val="0"/>
                <w:sz w:val="24"/>
                <w:szCs w:val="24"/>
              </w:rPr>
              <w:t>第四层次：新兴产业投资战略</w:t>
            </w:r>
          </w:p>
        </w:tc>
      </w:tr>
      <w:tr>
        <w:tblPrEx>
          <w:tblLayout w:type="fixed"/>
          <w:tblCellMar>
            <w:top w:w="0" w:type="dxa"/>
            <w:left w:w="0" w:type="dxa"/>
            <w:bottom w:w="0" w:type="dxa"/>
            <w:right w:w="0" w:type="dxa"/>
          </w:tblCellMar>
        </w:tblPrEx>
        <w:trPr>
          <w:cantSplit/>
          <w:trHeight w:val="199"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大数据产业投资</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智能投资</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医疗生物产业</w:t>
            </w:r>
          </w:p>
        </w:tc>
      </w:tr>
      <w:tr>
        <w:tblPrEx>
          <w:tblLayout w:type="fixed"/>
          <w:tblCellMar>
            <w:top w:w="0" w:type="dxa"/>
            <w:left w:w="0" w:type="dxa"/>
            <w:bottom w:w="0" w:type="dxa"/>
            <w:right w:w="0" w:type="dxa"/>
          </w:tblCellMar>
        </w:tblPrEx>
        <w:trPr>
          <w:cantSplit/>
          <w:trHeight w:val="1245"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大数据与互联网时代的营销创新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云计算与工业互联网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大数据与云计算的投资机会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量子通讯与量子计算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智能硬件与集成电路</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多样化纳米材料与多功能碳材料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光催化与环保材料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3D 打印与可记忆材料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锂电池与动能储藏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车联网与智能交通</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生物产业发展规划分析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中药标准化行动计划分析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医院战略投资决策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医院融资决策分析与融资模式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医院法人治理结构与股权设计</w:t>
            </w:r>
          </w:p>
        </w:tc>
      </w:tr>
      <w:tr>
        <w:tblPrEx>
          <w:tblLayout w:type="fixed"/>
          <w:tblCellMar>
            <w:top w:w="0" w:type="dxa"/>
            <w:left w:w="0" w:type="dxa"/>
            <w:bottom w:w="0" w:type="dxa"/>
            <w:right w:w="0" w:type="dxa"/>
          </w:tblCellMar>
        </w:tblPrEx>
        <w:trPr>
          <w:cantSplit/>
          <w:trHeight w:val="390" w:hRule="atLeast"/>
        </w:trPr>
        <w:tc>
          <w:tcPr>
            <w:tcW w:w="9886"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85" w:lineRule="atLeast"/>
              <w:jc w:val="center"/>
              <w:rPr>
                <w:rFonts w:hint="default" w:ascii="微软雅黑" w:hAnsi="微软雅黑" w:eastAsia="宋体" w:cs="宋体"/>
                <w:color w:val="680000"/>
                <w:kern w:val="0"/>
                <w:sz w:val="24"/>
                <w:szCs w:val="24"/>
                <w:lang w:val="en-US" w:eastAsia="zh-CN"/>
              </w:rPr>
            </w:pPr>
            <w:r>
              <w:rPr>
                <w:rFonts w:hint="eastAsia" w:ascii="宋体" w:hAnsi="宋体" w:eastAsia="宋体" w:cs="宋体"/>
                <w:b/>
                <w:bCs/>
                <w:color w:val="680000"/>
                <w:kern w:val="0"/>
                <w:sz w:val="24"/>
                <w:szCs w:val="24"/>
              </w:rPr>
              <w:t>第五层次：资本运营</w:t>
            </w:r>
            <w:r>
              <w:rPr>
                <w:rFonts w:hint="eastAsia" w:ascii="宋体" w:hAnsi="宋体" w:eastAsia="宋体" w:cs="宋体"/>
                <w:b/>
                <w:bCs/>
                <w:color w:val="680000"/>
                <w:kern w:val="0"/>
                <w:sz w:val="24"/>
                <w:szCs w:val="24"/>
                <w:lang w:val="en-US" w:eastAsia="zh-CN"/>
              </w:rPr>
              <w:t>与互联网创新</w:t>
            </w:r>
          </w:p>
        </w:tc>
      </w:tr>
      <w:tr>
        <w:tblPrEx>
          <w:tblLayout w:type="fixed"/>
          <w:tblCellMar>
            <w:top w:w="0" w:type="dxa"/>
            <w:left w:w="0" w:type="dxa"/>
            <w:bottom w:w="0" w:type="dxa"/>
            <w:right w:w="0" w:type="dxa"/>
          </w:tblCellMar>
        </w:tblPrEx>
        <w:trPr>
          <w:cantSplit/>
          <w:trHeight w:val="317"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企业资本运营实务分析</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与上市相关的企业资本运作</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互联网金融格局</w:t>
            </w:r>
          </w:p>
        </w:tc>
      </w:tr>
      <w:tr>
        <w:tblPrEx>
          <w:tblLayout w:type="fixed"/>
          <w:tblCellMar>
            <w:top w:w="0" w:type="dxa"/>
            <w:left w:w="0" w:type="dxa"/>
            <w:bottom w:w="0" w:type="dxa"/>
            <w:right w:w="0" w:type="dxa"/>
          </w:tblCellMar>
        </w:tblPrEx>
        <w:trPr>
          <w:cantSplit/>
          <w:trHeight w:val="1245"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企业多元化投融资分析与决策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多渠道融资实践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企业战略并购与重组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新三板挂牌操作实务</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股权激励与股东价值管理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企业国内外上市战略选择与操作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上市前的税务筹划与法律风险防范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公司治理及商业模式创新</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中国金融业的改革与创新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互联网金融对传统金融市场的影响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互联网金融发展与趋势</w:t>
            </w:r>
            <w:r>
              <w:rPr>
                <w:rFonts w:hint="eastAsia" w:ascii="微软雅黑" w:hAnsi="微软雅黑" w:eastAsia="微软雅黑" w:cs="宋体"/>
                <w:color w:val="000000" w:themeColor="text1"/>
                <w:kern w:val="0"/>
                <w:sz w:val="18"/>
                <w:szCs w:val="18"/>
              </w:rPr>
              <w:br w:type="textWrapping"/>
            </w:r>
            <w:r>
              <w:rPr>
                <w:rFonts w:hint="eastAsia" w:ascii="微软雅黑" w:hAnsi="微软雅黑" w:eastAsia="微软雅黑" w:cs="宋体"/>
                <w:color w:val="000000" w:themeColor="text1"/>
                <w:kern w:val="0"/>
                <w:sz w:val="18"/>
                <w:szCs w:val="18"/>
              </w:rPr>
              <w:t>电商平台金融的应用</w:t>
            </w:r>
          </w:p>
        </w:tc>
      </w:tr>
      <w:tr>
        <w:tblPrEx>
          <w:tblLayout w:type="fixed"/>
          <w:tblCellMar>
            <w:top w:w="0" w:type="dxa"/>
            <w:left w:w="0" w:type="dxa"/>
            <w:bottom w:w="0" w:type="dxa"/>
            <w:right w:w="0" w:type="dxa"/>
          </w:tblCellMar>
        </w:tblPrEx>
        <w:trPr>
          <w:cantSplit/>
          <w:trHeight w:val="300" w:hRule="atLeast"/>
        </w:trPr>
        <w:tc>
          <w:tcPr>
            <w:tcW w:w="9886"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680000"/>
                <w:kern w:val="0"/>
                <w:sz w:val="24"/>
                <w:szCs w:val="24"/>
              </w:rPr>
            </w:pPr>
            <w:r>
              <w:rPr>
                <w:rFonts w:hint="eastAsia" w:ascii="宋体" w:hAnsi="宋体" w:eastAsia="宋体" w:cs="宋体"/>
                <w:b/>
                <w:bCs/>
                <w:color w:val="680000"/>
                <w:kern w:val="0"/>
                <w:sz w:val="24"/>
                <w:szCs w:val="24"/>
              </w:rPr>
              <w:t>第六层次：商业模式设计与创新</w:t>
            </w:r>
          </w:p>
        </w:tc>
      </w:tr>
      <w:tr>
        <w:tblPrEx>
          <w:tblLayout w:type="fixed"/>
          <w:tblCellMar>
            <w:top w:w="0" w:type="dxa"/>
            <w:left w:w="0" w:type="dxa"/>
            <w:bottom w:w="0" w:type="dxa"/>
            <w:right w:w="0" w:type="dxa"/>
          </w:tblCellMar>
        </w:tblPrEx>
        <w:trPr>
          <w:cantSplit/>
          <w:trHeight w:val="285"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商业模式创新与变革</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商业模式与企业核心竞争力</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商业模式的评价标准与体系建立</w:t>
            </w:r>
          </w:p>
        </w:tc>
      </w:tr>
      <w:tr>
        <w:tblPrEx>
          <w:tblLayout w:type="fixed"/>
          <w:tblCellMar>
            <w:top w:w="0" w:type="dxa"/>
            <w:left w:w="0" w:type="dxa"/>
            <w:bottom w:w="0" w:type="dxa"/>
            <w:right w:w="0" w:type="dxa"/>
          </w:tblCellMar>
        </w:tblPrEx>
        <w:trPr>
          <w:cantSplit/>
          <w:trHeight w:val="1215"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商业模式与行业发展层级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商业模式与企业定位</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商业模式与竞争战略</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商业模式体系建立</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模式变革的内部风险与管控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商业模式与公司制度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商业模式设计的理念</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不同行业商业模式研究与对比</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商业模式盈利预测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商业模式赢利支撑 </w:t>
            </w:r>
          </w:p>
          <w:p>
            <w:pPr>
              <w:widowControl/>
              <w:wordWrap w:val="0"/>
              <w:spacing w:line="320" w:lineRule="exact"/>
              <w:jc w:val="left"/>
              <w:rPr>
                <w:rFonts w:hint="eastAsia"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资本市场的商业模式偏好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商业模式的财税保障战略</w:t>
            </w:r>
          </w:p>
        </w:tc>
      </w:tr>
    </w:tbl>
    <w:p>
      <w:pPr>
        <w:widowControl/>
        <w:shd w:val="clear" w:color="auto" w:fill="FFFFFF"/>
        <w:spacing w:line="480" w:lineRule="exact"/>
        <w:jc w:val="left"/>
        <w:rPr>
          <w:rFonts w:ascii="宋体" w:hAnsi="宋体" w:eastAsia="宋体" w:cs="宋体"/>
          <w:b/>
          <w:bCs/>
          <w:color w:val="680000"/>
          <w:kern w:val="0"/>
          <w:sz w:val="24"/>
          <w:szCs w:val="24"/>
        </w:rPr>
      </w:pPr>
    </w:p>
    <w:p>
      <w:pPr>
        <w:widowControl/>
        <w:shd w:val="clear" w:color="auto" w:fill="FFFFFF"/>
        <w:spacing w:line="480" w:lineRule="exact"/>
        <w:jc w:val="left"/>
        <w:rPr>
          <w:rFonts w:ascii="宋体" w:hAnsi="宋体" w:eastAsia="宋体" w:cs="宋体"/>
          <w:b/>
          <w:bCs/>
          <w:color w:val="680000"/>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color w:val="680000"/>
          <w:kern w:val="0"/>
          <w:sz w:val="24"/>
          <w:szCs w:val="24"/>
        </w:rPr>
      </w:pPr>
      <w:r>
        <w:rPr>
          <w:rFonts w:hint="eastAsia" w:asciiTheme="minorEastAsia" w:hAnsiTheme="minorEastAsia" w:eastAsiaTheme="minorEastAsia" w:cstheme="minorEastAsia"/>
          <w:b/>
          <w:bCs/>
          <w:color w:val="680000"/>
          <w:kern w:val="0"/>
          <w:sz w:val="24"/>
          <w:szCs w:val="24"/>
        </w:rPr>
        <w:t>【学习对象】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240" w:firstLineChars="100"/>
        <w:jc w:val="left"/>
        <w:textAlignment w:val="auto"/>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sz w:val="24"/>
          <w:szCs w:val="24"/>
        </w:rPr>
        <w:t>企业总经理、副总经理、总监等，大中型企业部门经理、业务骨干等。</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bCs/>
          <w:color w:val="680000"/>
          <w:kern w:val="0"/>
          <w:sz w:val="24"/>
          <w:szCs w:val="24"/>
        </w:rPr>
      </w:pPr>
      <w:r>
        <w:rPr>
          <w:rFonts w:hint="eastAsia" w:asciiTheme="minorEastAsia" w:hAnsiTheme="minorEastAsia" w:eastAsiaTheme="minorEastAsia" w:cstheme="minorEastAsia"/>
          <w:b/>
          <w:bCs/>
          <w:color w:val="680000"/>
          <w:kern w:val="0"/>
          <w:sz w:val="24"/>
          <w:szCs w:val="24"/>
        </w:rPr>
        <w:t>【教学管理】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239" w:leftChars="114"/>
        <w:jc w:val="left"/>
        <w:textAlignment w:val="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研修班设班主任一名，负责相关的教学管理工作；由班主任协助组建班委会，选举班长等班委会人员，协助教学管理；</w:t>
      </w:r>
      <w:r>
        <w:rPr>
          <w:rFonts w:hint="eastAsia" w:asciiTheme="minorEastAsia" w:hAnsiTheme="minorEastAsia" w:eastAsiaTheme="minorEastAsia" w:cstheme="minorEastAsia"/>
          <w:color w:val="000000" w:themeColor="text1"/>
          <w:sz w:val="24"/>
          <w:szCs w:val="24"/>
        </w:rPr>
        <w:br w:type="textWrapping"/>
      </w:r>
      <w:r>
        <w:rPr>
          <w:rFonts w:hint="eastAsia" w:asciiTheme="minorEastAsia" w:hAnsiTheme="minorEastAsia" w:eastAsiaTheme="minorEastAsia" w:cstheme="minorEastAsia"/>
          <w:color w:val="000000" w:themeColor="text1"/>
          <w:sz w:val="24"/>
          <w:szCs w:val="24"/>
        </w:rPr>
        <w:t>评选优秀学员，颁发优秀学员荣誉证书；</w:t>
      </w:r>
      <w:r>
        <w:rPr>
          <w:rFonts w:hint="eastAsia" w:asciiTheme="minorEastAsia" w:hAnsiTheme="minorEastAsia" w:eastAsiaTheme="minorEastAsia" w:cstheme="minorEastAsia"/>
          <w:color w:val="000000" w:themeColor="text1"/>
          <w:sz w:val="24"/>
          <w:szCs w:val="24"/>
        </w:rPr>
        <w:br w:type="textWrapping"/>
      </w:r>
      <w:r>
        <w:rPr>
          <w:rFonts w:hint="eastAsia" w:asciiTheme="minorEastAsia" w:hAnsiTheme="minorEastAsia" w:eastAsiaTheme="minorEastAsia" w:cstheme="minorEastAsia"/>
          <w:color w:val="000000" w:themeColor="text1"/>
          <w:sz w:val="24"/>
          <w:szCs w:val="24"/>
        </w:rPr>
        <w:t>学员在北京大学正式注册并进行学习管理。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bCs/>
          <w:color w:val="680000"/>
          <w:kern w:val="0"/>
          <w:sz w:val="24"/>
          <w:szCs w:val="24"/>
        </w:rPr>
      </w:pPr>
      <w:r>
        <w:rPr>
          <w:rFonts w:hint="eastAsia" w:asciiTheme="minorEastAsia" w:hAnsiTheme="minorEastAsia" w:eastAsiaTheme="minorEastAsia" w:cstheme="minorEastAsia"/>
          <w:b/>
          <w:bCs/>
          <w:color w:val="680000"/>
          <w:kern w:val="0"/>
          <w:sz w:val="24"/>
          <w:szCs w:val="24"/>
        </w:rPr>
        <w:t>【学习方式】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上课地点：北京大学及游学</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学制：一年 （每个月上一次课，周六日连续2天，共10次）</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bCs/>
          <w:color w:val="680000"/>
          <w:kern w:val="0"/>
          <w:sz w:val="24"/>
          <w:szCs w:val="24"/>
        </w:rPr>
      </w:pPr>
      <w:r>
        <w:rPr>
          <w:rFonts w:hint="eastAsia" w:ascii="宋体" w:hAnsi="宋体"/>
          <w:sz w:val="24"/>
          <w:szCs w:val="24"/>
          <w:lang w:val="en-US" w:eastAsia="zh-CN"/>
        </w:rPr>
        <w:t>培训费：5.98万（含讲义、教材、授课、证书）</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b/>
          <w:bCs/>
          <w:color w:val="680000"/>
          <w:kern w:val="0"/>
          <w:sz w:val="24"/>
          <w:szCs w:val="24"/>
        </w:rPr>
      </w:pPr>
      <w:r>
        <w:rPr>
          <w:rFonts w:hint="eastAsia" w:asciiTheme="minorEastAsia" w:hAnsiTheme="minorEastAsia" w:eastAsiaTheme="minorEastAsia" w:cstheme="minorEastAsia"/>
          <w:b/>
          <w:bCs/>
          <w:color w:val="680000"/>
          <w:kern w:val="0"/>
          <w:sz w:val="24"/>
          <w:szCs w:val="24"/>
        </w:rPr>
        <w:t>【</w:t>
      </w:r>
      <w:r>
        <w:rPr>
          <w:rFonts w:hint="eastAsia" w:asciiTheme="minorEastAsia" w:hAnsiTheme="minorEastAsia" w:cstheme="minorEastAsia"/>
          <w:b/>
          <w:bCs/>
          <w:color w:val="680000"/>
          <w:kern w:val="0"/>
          <w:sz w:val="24"/>
          <w:szCs w:val="24"/>
          <w:lang w:val="en-US" w:eastAsia="zh-CN"/>
        </w:rPr>
        <w:t>部分师资</w:t>
      </w:r>
      <w:r>
        <w:rPr>
          <w:rFonts w:hint="eastAsia" w:asciiTheme="minorEastAsia" w:hAnsiTheme="minorEastAsia" w:eastAsiaTheme="minorEastAsia" w:cstheme="minorEastAsia"/>
          <w:b/>
          <w:bCs/>
          <w:color w:val="680000"/>
          <w:kern w:val="0"/>
          <w:sz w:val="24"/>
          <w:szCs w:val="24"/>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rPr>
      </w:pPr>
      <w:r>
        <w:rPr>
          <w:rFonts w:hint="eastAsia" w:ascii="宋体" w:hAnsi="宋体" w:cs="微软雅黑"/>
          <w:b/>
          <w:bCs w:val="0"/>
          <w:sz w:val="24"/>
          <w:szCs w:val="24"/>
          <w:shd w:val="clear" w:color="auto" w:fill="FFFFFF"/>
        </w:rPr>
        <w:t>张  延：</w:t>
      </w:r>
      <w:r>
        <w:rPr>
          <w:rFonts w:hint="eastAsia" w:ascii="宋体" w:hAnsi="宋体" w:cs="微软雅黑"/>
          <w:b w:val="0"/>
          <w:bCs/>
          <w:sz w:val="24"/>
          <w:szCs w:val="24"/>
          <w:shd w:val="clear" w:color="auto" w:fill="FFFFFF"/>
        </w:rPr>
        <w:t>北京大学经济学院教授，博士生导师</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rPr>
      </w:pPr>
      <w:r>
        <w:rPr>
          <w:rFonts w:hint="eastAsia" w:ascii="宋体" w:hAnsi="宋体" w:cs="微软雅黑"/>
          <w:b/>
          <w:bCs w:val="0"/>
          <w:sz w:val="24"/>
          <w:szCs w:val="24"/>
          <w:shd w:val="clear" w:color="auto" w:fill="FFFFFF"/>
          <w:lang w:eastAsia="zh-CN"/>
        </w:rPr>
        <w:t>周建波</w:t>
      </w:r>
      <w:r>
        <w:rPr>
          <w:rFonts w:hint="eastAsia" w:ascii="宋体" w:hAnsi="宋体" w:cs="微软雅黑"/>
          <w:b/>
          <w:bCs w:val="0"/>
          <w:sz w:val="24"/>
          <w:szCs w:val="24"/>
          <w:shd w:val="clear" w:color="auto" w:fill="FFFFFF"/>
        </w:rPr>
        <w:t>：</w:t>
      </w:r>
      <w:r>
        <w:rPr>
          <w:rFonts w:hint="eastAsia" w:ascii="宋体" w:hAnsi="宋体" w:cs="微软雅黑"/>
          <w:b w:val="0"/>
          <w:bCs/>
          <w:sz w:val="24"/>
          <w:szCs w:val="24"/>
          <w:shd w:val="clear" w:color="auto" w:fill="FFFFFF"/>
        </w:rPr>
        <w:t>北京大学经济学院教授，博士生导师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20" w:lineRule="exact"/>
        <w:ind w:left="0" w:leftChars="0" w:right="0" w:rightChars="0" w:firstLine="0" w:firstLineChars="0"/>
        <w:jc w:val="both"/>
        <w:textAlignment w:val="auto"/>
        <w:outlineLvl w:val="9"/>
        <w:rPr>
          <w:rFonts w:hint="eastAsia" w:ascii="宋体" w:hAnsi="宋体" w:eastAsia="宋体" w:cs="微软雅黑"/>
          <w:b/>
          <w:bCs w:val="0"/>
          <w:sz w:val="24"/>
          <w:szCs w:val="24"/>
          <w:shd w:val="clear" w:color="auto" w:fill="FFFFFF"/>
          <w:lang w:eastAsia="zh-CN"/>
        </w:rPr>
      </w:pPr>
      <w:r>
        <w:rPr>
          <w:rFonts w:hint="eastAsia" w:ascii="宋体" w:hAnsi="宋体" w:cs="微软雅黑"/>
          <w:b/>
          <w:bCs w:val="0"/>
          <w:sz w:val="24"/>
          <w:szCs w:val="24"/>
          <w:shd w:val="clear" w:color="auto" w:fill="FFFFFF"/>
          <w:lang w:eastAsia="zh-CN"/>
        </w:rPr>
        <w:t>阎步克：</w:t>
      </w:r>
      <w:r>
        <w:rPr>
          <w:rFonts w:hint="eastAsia" w:ascii="宋体" w:hAnsi="宋体" w:cs="微软雅黑"/>
          <w:b w:val="0"/>
          <w:bCs/>
          <w:sz w:val="24"/>
          <w:szCs w:val="24"/>
          <w:shd w:val="clear" w:color="auto" w:fill="FFFFFF"/>
          <w:lang w:eastAsia="zh-CN"/>
        </w:rPr>
        <w:t>北京大学人文学部副主任，北京大学历史学系教授，博士生导师</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eastAsia="zh-CN"/>
        </w:rPr>
      </w:pPr>
      <w:r>
        <w:rPr>
          <w:rFonts w:hint="eastAsia" w:ascii="宋体" w:hAnsi="宋体" w:cs="微软雅黑"/>
          <w:b/>
          <w:bCs w:val="0"/>
          <w:sz w:val="24"/>
          <w:szCs w:val="24"/>
          <w:shd w:val="clear" w:color="auto" w:fill="FFFFFF"/>
          <w:lang w:eastAsia="zh-CN"/>
        </w:rPr>
        <w:t>孔</w:t>
      </w:r>
      <w:r>
        <w:rPr>
          <w:rFonts w:hint="eastAsia" w:ascii="宋体" w:hAnsi="宋体" w:cs="微软雅黑"/>
          <w:b/>
          <w:bCs w:val="0"/>
          <w:sz w:val="24"/>
          <w:szCs w:val="24"/>
          <w:shd w:val="clear" w:color="auto" w:fill="FFFFFF"/>
          <w:lang w:val="en-US" w:eastAsia="zh-CN"/>
        </w:rPr>
        <w:t xml:space="preserve">  </w:t>
      </w:r>
      <w:r>
        <w:rPr>
          <w:rFonts w:hint="eastAsia" w:ascii="宋体" w:hAnsi="宋体" w:cs="微软雅黑"/>
          <w:b/>
          <w:bCs w:val="0"/>
          <w:sz w:val="24"/>
          <w:szCs w:val="24"/>
          <w:shd w:val="clear" w:color="auto" w:fill="FFFFFF"/>
          <w:lang w:eastAsia="zh-CN"/>
        </w:rPr>
        <w:t>英：</w:t>
      </w:r>
      <w:r>
        <w:rPr>
          <w:rFonts w:hint="eastAsia" w:ascii="宋体" w:hAnsi="宋体" w:cs="微软雅黑"/>
          <w:b w:val="0"/>
          <w:bCs/>
          <w:sz w:val="24"/>
          <w:szCs w:val="24"/>
          <w:shd w:val="clear" w:color="auto" w:fill="FFFFFF"/>
          <w:lang w:eastAsia="zh-CN"/>
        </w:rPr>
        <w:t>著名管理经济学家，清华大学教授，博士生导师，加拿大约克大学终身教授</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eastAsia="zh-CN"/>
        </w:rPr>
      </w:pPr>
      <w:r>
        <w:rPr>
          <w:rFonts w:hint="eastAsia" w:ascii="宋体" w:hAnsi="宋体" w:cs="微软雅黑"/>
          <w:b/>
          <w:bCs w:val="0"/>
          <w:sz w:val="24"/>
          <w:szCs w:val="24"/>
          <w:shd w:val="clear" w:color="auto" w:fill="FFFFFF"/>
          <w:lang w:eastAsia="zh-CN"/>
        </w:rPr>
        <w:t>龙军生：</w:t>
      </w:r>
      <w:r>
        <w:rPr>
          <w:rFonts w:hint="eastAsia" w:ascii="宋体" w:hAnsi="宋体" w:cs="微软雅黑"/>
          <w:b w:val="0"/>
          <w:bCs/>
          <w:sz w:val="24"/>
          <w:szCs w:val="24"/>
          <w:shd w:val="clear" w:color="auto" w:fill="FFFFFF"/>
          <w:lang w:eastAsia="zh-CN"/>
        </w:rPr>
        <w:t>曾任北京大学光华管理学院教授、美国北卡大学夏洛特分校教授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rPr>
      </w:pPr>
      <w:r>
        <w:rPr>
          <w:rFonts w:hint="eastAsia" w:ascii="宋体" w:hAnsi="宋体" w:cs="微软雅黑"/>
          <w:b/>
          <w:bCs w:val="0"/>
          <w:sz w:val="24"/>
          <w:szCs w:val="24"/>
          <w:shd w:val="clear" w:color="auto" w:fill="FFFFFF"/>
          <w:lang w:eastAsia="zh-CN"/>
        </w:rPr>
        <w:t>薛</w:t>
      </w:r>
      <w:r>
        <w:rPr>
          <w:rFonts w:hint="eastAsia" w:ascii="宋体" w:hAnsi="宋体" w:cs="微软雅黑"/>
          <w:b/>
          <w:bCs w:val="0"/>
          <w:sz w:val="24"/>
          <w:szCs w:val="24"/>
          <w:shd w:val="clear" w:color="auto" w:fill="FFFFFF"/>
          <w:lang w:val="en-US" w:eastAsia="zh-CN"/>
        </w:rPr>
        <w:t xml:space="preserve">  </w:t>
      </w:r>
      <w:r>
        <w:rPr>
          <w:rFonts w:hint="eastAsia" w:ascii="宋体" w:hAnsi="宋体" w:cs="微软雅黑"/>
          <w:b/>
          <w:bCs w:val="0"/>
          <w:sz w:val="24"/>
          <w:szCs w:val="24"/>
          <w:shd w:val="clear" w:color="auto" w:fill="FFFFFF"/>
          <w:lang w:eastAsia="zh-CN"/>
        </w:rPr>
        <w:t>旭：</w:t>
      </w:r>
      <w:r>
        <w:rPr>
          <w:rFonts w:hint="eastAsia" w:ascii="宋体" w:hAnsi="宋体" w:cs="微软雅黑"/>
          <w:b w:val="0"/>
          <w:bCs/>
          <w:sz w:val="24"/>
          <w:szCs w:val="24"/>
          <w:shd w:val="clear" w:color="auto" w:fill="FFFFFF"/>
        </w:rPr>
        <w:t>北京大学经济学院教授</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王在全：</w:t>
      </w:r>
      <w:r>
        <w:rPr>
          <w:rFonts w:hint="eastAsia" w:ascii="宋体" w:hAnsi="宋体" w:cs="微软雅黑"/>
          <w:b w:val="0"/>
          <w:bCs/>
          <w:sz w:val="24"/>
          <w:szCs w:val="24"/>
          <w:shd w:val="clear" w:color="auto" w:fill="FFFFFF"/>
          <w:lang w:val="en-US" w:eastAsia="zh-CN"/>
        </w:rPr>
        <w:t>北京大学马克思主义学院经济学教授，北京大学中国民营企业研究所所长</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eastAsia="宋体" w:cs="微软雅黑"/>
          <w:b w:val="0"/>
          <w:bCs/>
          <w:sz w:val="24"/>
          <w:szCs w:val="24"/>
          <w:shd w:val="clear" w:color="auto" w:fill="FFFFFF"/>
          <w:lang w:eastAsia="zh-CN"/>
        </w:rPr>
      </w:pPr>
      <w:r>
        <w:rPr>
          <w:rFonts w:hint="eastAsia" w:ascii="宋体" w:hAnsi="宋体" w:cs="微软雅黑"/>
          <w:b/>
          <w:bCs w:val="0"/>
          <w:sz w:val="24"/>
          <w:szCs w:val="24"/>
          <w:shd w:val="clear" w:color="auto" w:fill="FFFFFF"/>
        </w:rPr>
        <w:t>张智勇：</w:t>
      </w:r>
      <w:r>
        <w:rPr>
          <w:rFonts w:hint="eastAsia" w:ascii="宋体" w:hAnsi="宋体" w:cs="微软雅黑"/>
          <w:b w:val="0"/>
          <w:bCs/>
          <w:sz w:val="24"/>
          <w:szCs w:val="24"/>
          <w:shd w:val="clear" w:color="auto" w:fill="FFFFFF"/>
        </w:rPr>
        <w:t>北京大学心理与认知</w:t>
      </w:r>
      <w:r>
        <w:rPr>
          <w:rFonts w:hint="eastAsia" w:ascii="宋体" w:hAnsi="宋体" w:cs="微软雅黑"/>
          <w:b w:val="0"/>
          <w:bCs/>
          <w:sz w:val="24"/>
          <w:szCs w:val="24"/>
          <w:shd w:val="clear" w:color="auto" w:fill="FFFFFF"/>
          <w:lang w:eastAsia="zh-CN"/>
        </w:rPr>
        <w:t>科学</w:t>
      </w:r>
      <w:r>
        <w:rPr>
          <w:rFonts w:hint="eastAsia" w:ascii="宋体" w:hAnsi="宋体" w:cs="微软雅黑"/>
          <w:b w:val="0"/>
          <w:bCs/>
          <w:sz w:val="24"/>
          <w:szCs w:val="24"/>
          <w:shd w:val="clear" w:color="auto" w:fill="FFFFFF"/>
        </w:rPr>
        <w:t>学院</w:t>
      </w:r>
      <w:r>
        <w:rPr>
          <w:rFonts w:hint="eastAsia" w:ascii="宋体" w:hAnsi="宋体" w:cs="微软雅黑"/>
          <w:b w:val="0"/>
          <w:bCs/>
          <w:sz w:val="24"/>
          <w:szCs w:val="24"/>
          <w:shd w:val="clear" w:color="auto" w:fill="FFFFFF"/>
          <w:lang w:eastAsia="zh-CN"/>
        </w:rPr>
        <w:t>副</w:t>
      </w:r>
      <w:r>
        <w:rPr>
          <w:rFonts w:hint="eastAsia" w:ascii="宋体" w:hAnsi="宋体" w:cs="微软雅黑"/>
          <w:b w:val="0"/>
          <w:bCs/>
          <w:sz w:val="24"/>
          <w:szCs w:val="24"/>
          <w:shd w:val="clear" w:color="auto" w:fill="FFFFFF"/>
        </w:rPr>
        <w:t>教授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程郁缀：</w:t>
      </w:r>
      <w:r>
        <w:rPr>
          <w:rFonts w:hint="eastAsia" w:ascii="宋体" w:hAnsi="宋体" w:cs="微软雅黑"/>
          <w:b w:val="0"/>
          <w:bCs/>
          <w:sz w:val="24"/>
          <w:szCs w:val="24"/>
          <w:shd w:val="clear" w:color="auto" w:fill="FFFFFF"/>
          <w:lang w:val="en-US" w:eastAsia="zh-CN"/>
        </w:rPr>
        <w:t>北京大学中文系教授，曾任北京大学社会科学部部长</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eastAsia="zh-CN"/>
        </w:rPr>
      </w:pPr>
      <w:r>
        <w:rPr>
          <w:rFonts w:hint="eastAsia" w:ascii="宋体" w:hAnsi="宋体" w:cs="微软雅黑"/>
          <w:b/>
          <w:bCs w:val="0"/>
          <w:sz w:val="24"/>
          <w:szCs w:val="24"/>
          <w:shd w:val="clear" w:color="auto" w:fill="FFFFFF"/>
        </w:rPr>
        <w:t>王守常：</w:t>
      </w:r>
      <w:r>
        <w:rPr>
          <w:rFonts w:hint="eastAsia" w:ascii="宋体" w:hAnsi="宋体" w:cs="微软雅黑"/>
          <w:b w:val="0"/>
          <w:bCs/>
          <w:sz w:val="24"/>
          <w:szCs w:val="24"/>
          <w:shd w:val="clear" w:color="auto" w:fill="FFFFFF"/>
        </w:rPr>
        <w:t>北京大学哲学系教授，</w:t>
      </w:r>
      <w:r>
        <w:rPr>
          <w:rFonts w:hint="eastAsia" w:ascii="宋体" w:hAnsi="宋体" w:cs="微软雅黑"/>
          <w:b w:val="0"/>
          <w:bCs/>
          <w:sz w:val="24"/>
          <w:szCs w:val="24"/>
          <w:shd w:val="clear" w:color="auto" w:fill="FFFFFF"/>
          <w:lang w:eastAsia="zh-CN"/>
        </w:rPr>
        <w:t>著名学者</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eastAsia="zh-CN"/>
        </w:rPr>
      </w:pPr>
      <w:r>
        <w:rPr>
          <w:rFonts w:hint="eastAsia" w:ascii="宋体" w:hAnsi="宋体" w:cs="微软雅黑"/>
          <w:b/>
          <w:bCs w:val="0"/>
          <w:sz w:val="24"/>
          <w:szCs w:val="24"/>
          <w:shd w:val="clear" w:color="auto" w:fill="FFFFFF"/>
          <w:lang w:eastAsia="zh-CN"/>
        </w:rPr>
        <w:t>江</w:t>
      </w:r>
      <w:r>
        <w:rPr>
          <w:rFonts w:hint="eastAsia" w:ascii="宋体" w:hAnsi="宋体" w:cs="微软雅黑"/>
          <w:b/>
          <w:bCs w:val="0"/>
          <w:sz w:val="24"/>
          <w:szCs w:val="24"/>
          <w:shd w:val="clear" w:color="auto" w:fill="FFFFFF"/>
          <w:lang w:val="en-US" w:eastAsia="zh-CN"/>
        </w:rPr>
        <w:t xml:space="preserve">  </w:t>
      </w:r>
      <w:r>
        <w:rPr>
          <w:rFonts w:hint="eastAsia" w:ascii="宋体" w:hAnsi="宋体" w:cs="微软雅黑"/>
          <w:b/>
          <w:bCs w:val="0"/>
          <w:sz w:val="24"/>
          <w:szCs w:val="24"/>
          <w:shd w:val="clear" w:color="auto" w:fill="FFFFFF"/>
          <w:lang w:eastAsia="zh-CN"/>
        </w:rPr>
        <w:t>英：</w:t>
      </w:r>
      <w:r>
        <w:rPr>
          <w:rFonts w:hint="eastAsia" w:ascii="宋体" w:hAnsi="宋体" w:cs="微软雅黑"/>
          <w:b w:val="0"/>
          <w:bCs/>
          <w:sz w:val="24"/>
          <w:szCs w:val="24"/>
          <w:shd w:val="clear" w:color="auto" w:fill="FFFFFF"/>
          <w:lang w:eastAsia="zh-CN"/>
        </w:rPr>
        <w:t>中国军事科学院研究员，中央政治局集体学习党史授课人，毛新宇博士生导师</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eastAsia="zh-CN"/>
        </w:rPr>
      </w:pPr>
      <w:r>
        <w:rPr>
          <w:rFonts w:hint="eastAsia" w:ascii="宋体" w:hAnsi="宋体" w:cs="微软雅黑"/>
          <w:b/>
          <w:bCs w:val="0"/>
          <w:sz w:val="24"/>
          <w:szCs w:val="24"/>
          <w:shd w:val="clear" w:color="auto" w:fill="FFFFFF"/>
          <w:lang w:eastAsia="zh-CN"/>
        </w:rPr>
        <w:t>路长全：</w:t>
      </w:r>
      <w:r>
        <w:rPr>
          <w:rFonts w:hint="eastAsia" w:ascii="宋体" w:hAnsi="宋体" w:cs="微软雅黑"/>
          <w:b w:val="0"/>
          <w:bCs/>
          <w:sz w:val="24"/>
          <w:szCs w:val="24"/>
          <w:shd w:val="clear" w:color="auto" w:fill="FFFFFF"/>
          <w:lang w:eastAsia="zh-CN"/>
        </w:rPr>
        <w:t>实战派市场营销专家</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于宝刚：</w:t>
      </w:r>
      <w:r>
        <w:rPr>
          <w:rFonts w:hint="eastAsia" w:ascii="宋体" w:hAnsi="宋体" w:cs="微软雅黑"/>
          <w:b w:val="0"/>
          <w:bCs/>
          <w:sz w:val="24"/>
          <w:szCs w:val="24"/>
          <w:shd w:val="clear" w:color="auto" w:fill="FFFFFF"/>
          <w:lang w:val="en-US" w:eastAsia="zh-CN"/>
        </w:rPr>
        <w:t>著名投融资和资本运营专家、金诺投资管理公司执行总裁</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崔 凯：</w:t>
      </w:r>
      <w:r>
        <w:rPr>
          <w:rFonts w:hint="eastAsia" w:ascii="宋体" w:hAnsi="宋体" w:cs="微软雅黑"/>
          <w:b w:val="0"/>
          <w:bCs/>
          <w:sz w:val="24"/>
          <w:szCs w:val="24"/>
          <w:shd w:val="clear" w:color="auto" w:fill="FFFFFF"/>
          <w:lang w:val="en-US" w:eastAsia="zh-CN"/>
        </w:rPr>
        <w:t>工学博士、管理学博士、著名战略管理与资本运营专家</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张 伟：</w:t>
      </w:r>
      <w:r>
        <w:rPr>
          <w:rFonts w:hint="eastAsia" w:ascii="宋体" w:hAnsi="宋体" w:cs="微软雅黑"/>
          <w:b w:val="0"/>
          <w:bCs/>
          <w:sz w:val="24"/>
          <w:szCs w:val="24"/>
          <w:shd w:val="clear" w:color="auto" w:fill="FFFFFF"/>
          <w:lang w:val="en-US" w:eastAsia="zh-CN"/>
        </w:rPr>
        <w:t>北京大学投资银行学会会长、北京市经济法学会金融专业委员会副秘书长</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黄 嵩：</w:t>
      </w:r>
      <w:r>
        <w:rPr>
          <w:rFonts w:hint="eastAsia" w:ascii="宋体" w:hAnsi="宋体" w:cs="微软雅黑"/>
          <w:b w:val="0"/>
          <w:bCs/>
          <w:sz w:val="24"/>
          <w:szCs w:val="24"/>
          <w:shd w:val="clear" w:color="auto" w:fill="FFFFFF"/>
          <w:lang w:val="en-US" w:eastAsia="zh-CN"/>
        </w:rPr>
        <w:t>北京大学金融学副教授、北京大学金融与产业发展研究中心秘书长</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陈晋蓉：</w:t>
      </w:r>
      <w:r>
        <w:rPr>
          <w:rFonts w:hint="eastAsia" w:ascii="宋体" w:hAnsi="宋体" w:cs="微软雅黑"/>
          <w:b w:val="0"/>
          <w:bCs/>
          <w:sz w:val="24"/>
          <w:szCs w:val="24"/>
          <w:shd w:val="clear" w:color="auto" w:fill="FFFFFF"/>
          <w:lang w:val="en-US" w:eastAsia="zh-CN"/>
        </w:rPr>
        <w:t>著名财务管理与资本运营专家</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李建良：</w:t>
      </w:r>
      <w:r>
        <w:rPr>
          <w:rFonts w:hint="eastAsia" w:ascii="宋体" w:hAnsi="宋体" w:cs="微软雅黑"/>
          <w:b w:val="0"/>
          <w:bCs/>
          <w:sz w:val="24"/>
          <w:szCs w:val="24"/>
          <w:shd w:val="clear" w:color="auto" w:fill="FFFFFF"/>
          <w:lang w:val="en-US" w:eastAsia="zh-CN"/>
        </w:rPr>
        <w:t>中国人民大学金融学博士、国内风险（创业）投资和企业成长研究领域专家</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刘 东：</w:t>
      </w:r>
      <w:r>
        <w:rPr>
          <w:rFonts w:hint="eastAsia" w:ascii="宋体" w:hAnsi="宋体" w:cs="微软雅黑"/>
          <w:b w:val="0"/>
          <w:bCs/>
          <w:sz w:val="24"/>
          <w:szCs w:val="24"/>
          <w:shd w:val="clear" w:color="auto" w:fill="FFFFFF"/>
          <w:lang w:val="en-US" w:eastAsia="zh-CN"/>
        </w:rPr>
        <w:t>现任亚洲投资者学会秘书长、国务院国资委研究中心特邀专家</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庞 红：</w:t>
      </w:r>
      <w:r>
        <w:rPr>
          <w:rFonts w:hint="eastAsia" w:ascii="宋体" w:hAnsi="宋体" w:cs="微软雅黑"/>
          <w:b w:val="0"/>
          <w:bCs/>
          <w:sz w:val="24"/>
          <w:szCs w:val="24"/>
          <w:shd w:val="clear" w:color="auto" w:fill="FFFFFF"/>
          <w:lang w:val="en-US" w:eastAsia="zh-CN"/>
        </w:rPr>
        <w:t>中国人民大学财政金融学院教授、国家科学技术部技术经纪人顾问</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罗明雄：</w:t>
      </w:r>
      <w:r>
        <w:rPr>
          <w:rFonts w:hint="eastAsia" w:ascii="宋体" w:hAnsi="宋体" w:cs="微软雅黑"/>
          <w:b w:val="0"/>
          <w:bCs/>
          <w:sz w:val="24"/>
          <w:szCs w:val="24"/>
          <w:shd w:val="clear" w:color="auto" w:fill="FFFFFF"/>
          <w:lang w:val="en-US" w:eastAsia="zh-CN"/>
        </w:rPr>
        <w:t>北京京北投资管理有限公司总裁、中国互联网金融投融资联盟秘书长</w:t>
      </w:r>
    </w:p>
    <w:p>
      <w:pPr>
        <w:widowControl/>
        <w:shd w:val="clear" w:color="auto" w:fill="FFFFFF"/>
        <w:spacing w:line="560" w:lineRule="exact"/>
        <w:jc w:val="both"/>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eastAsia="zh-CN"/>
        </w:rPr>
        <w:t>全国咨询电话：</w:t>
      </w:r>
      <w:r>
        <w:rPr>
          <w:rFonts w:hint="eastAsia" w:asciiTheme="majorEastAsia" w:hAnsiTheme="majorEastAsia" w:eastAsiaTheme="majorEastAsia"/>
          <w:b/>
          <w:bCs/>
          <w:sz w:val="24"/>
          <w:szCs w:val="24"/>
          <w:lang w:val="en-US" w:eastAsia="zh-CN"/>
        </w:rPr>
        <w:t>400-086-8596</w:t>
      </w:r>
      <w:bookmarkStart w:id="0" w:name="_GoBack"/>
      <w:bookmarkEnd w:id="0"/>
    </w:p>
    <w:p>
      <w:pPr>
        <w:widowControl/>
        <w:shd w:val="clear" w:color="auto" w:fill="FFFFFF"/>
        <w:spacing w:line="560" w:lineRule="exact"/>
        <w:jc w:val="both"/>
        <w:rPr>
          <w:rFonts w:asciiTheme="majorEastAsia" w:hAnsiTheme="majorEastAsia" w:eastAsiaTheme="majorEastAsia"/>
          <w:sz w:val="24"/>
          <w:szCs w:val="24"/>
        </w:rPr>
      </w:pPr>
    </w:p>
    <w:p>
      <w:pPr>
        <w:numPr>
          <w:ilvl w:val="0"/>
          <w:numId w:val="0"/>
        </w:numPr>
        <w:jc w:val="center"/>
        <w:rPr>
          <w:rFonts w:hint="eastAsia" w:ascii="楷体" w:hAnsi="楷体" w:eastAsia="楷体" w:cs="楷体"/>
          <w:b w:val="0"/>
          <w:bCs/>
          <w:i w:val="0"/>
          <w:caps w:val="0"/>
          <w:color w:val="FF0000"/>
          <w:spacing w:val="8"/>
          <w:sz w:val="48"/>
          <w:szCs w:val="48"/>
          <w:shd w:val="clear" w:fill="FFFFFF"/>
        </w:rPr>
      </w:pPr>
      <w:r>
        <w:rPr>
          <w:rFonts w:hint="eastAsia" w:ascii="楷体" w:hAnsi="楷体" w:eastAsia="楷体" w:cs="楷体"/>
          <w:b w:val="0"/>
          <w:bCs/>
          <w:i w:val="0"/>
          <w:caps w:val="0"/>
          <w:color w:val="FF0000"/>
          <w:spacing w:val="8"/>
          <w:sz w:val="48"/>
          <w:szCs w:val="48"/>
          <w:shd w:val="clear" w:fill="FFFFFF"/>
        </w:rPr>
        <w:t>资本运营高级研修班</w:t>
      </w:r>
    </w:p>
    <w:p>
      <w:pPr>
        <w:numPr>
          <w:ilvl w:val="0"/>
          <w:numId w:val="0"/>
        </w:numPr>
        <w:jc w:val="center"/>
        <w:rPr>
          <w:rFonts w:hint="eastAsia" w:ascii="楷体" w:hAnsi="楷体" w:eastAsia="楷体" w:cs="楷体"/>
          <w:b w:val="0"/>
          <w:bCs/>
          <w:i w:val="0"/>
          <w:caps w:val="0"/>
          <w:color w:val="FF0000"/>
          <w:spacing w:val="8"/>
          <w:sz w:val="36"/>
          <w:szCs w:val="36"/>
          <w:shd w:val="clear" w:fill="FFFFFF"/>
          <w:lang w:val="en-US" w:eastAsia="zh-CN"/>
        </w:rPr>
      </w:pPr>
    </w:p>
    <w:p>
      <w:pPr>
        <w:numPr>
          <w:ilvl w:val="0"/>
          <w:numId w:val="0"/>
        </w:numPr>
        <w:ind w:firstLine="4176" w:firstLineChars="1300"/>
        <w:rPr>
          <w:rFonts w:hint="eastAsia"/>
          <w:b/>
          <w:color w:val="AA281E"/>
          <w:sz w:val="32"/>
          <w:szCs w:val="32"/>
          <w:lang w:val="en-US" w:eastAsia="zh-CN"/>
        </w:rPr>
      </w:pPr>
      <w:r>
        <w:rPr>
          <w:rFonts w:hint="eastAsia"/>
          <w:b/>
          <w:color w:val="AA281E"/>
          <w:sz w:val="32"/>
          <w:szCs w:val="32"/>
          <w:lang w:val="en-US" w:eastAsia="zh-CN"/>
        </w:rPr>
        <w:t>报名表</w:t>
      </w:r>
    </w:p>
    <w:tbl>
      <w:tblPr>
        <w:tblStyle w:val="7"/>
        <w:tblpPr w:leftFromText="180" w:rightFromText="180" w:vertAnchor="text" w:horzAnchor="margin" w:tblpXSpec="center" w:tblpY="7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9"/>
        <w:gridCol w:w="1842"/>
        <w:gridCol w:w="284"/>
        <w:gridCol w:w="850"/>
        <w:gridCol w:w="1701"/>
        <w:gridCol w:w="426"/>
        <w:gridCol w:w="70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6" w:type="dxa"/>
            <w:gridSpan w:val="9"/>
            <w:shd w:val="clear" w:color="auto" w:fill="BFBFBF"/>
            <w:noWrap w:val="0"/>
            <w:vAlign w:val="center"/>
          </w:tcPr>
          <w:p>
            <w:pPr>
              <w:jc w:val="center"/>
              <w:rPr>
                <w:rFonts w:ascii="宋体" w:hAnsi="宋体"/>
                <w:b/>
                <w:szCs w:val="21"/>
              </w:rPr>
            </w:pPr>
            <w:r>
              <w:rPr>
                <w:rFonts w:ascii="宋体" w:hAnsi="宋体"/>
                <w:b/>
                <w:szCs w:val="21"/>
              </w:rPr>
              <w:t>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526" w:type="dxa"/>
            <w:noWrap w:val="0"/>
            <w:vAlign w:val="center"/>
          </w:tcPr>
          <w:p>
            <w:pPr>
              <w:rPr>
                <w:rFonts w:ascii="宋体" w:hAns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551" w:type="dxa"/>
            <w:gridSpan w:val="2"/>
            <w:noWrap w:val="0"/>
            <w:vAlign w:val="top"/>
          </w:tcPr>
          <w:p>
            <w:pPr>
              <w:rPr>
                <w:rFonts w:ascii="宋体" w:hAnsi="宋体"/>
                <w:szCs w:val="21"/>
              </w:rPr>
            </w:pPr>
          </w:p>
        </w:tc>
        <w:tc>
          <w:tcPr>
            <w:tcW w:w="1134" w:type="dxa"/>
            <w:gridSpan w:val="2"/>
            <w:noWrap w:val="0"/>
            <w:vAlign w:val="center"/>
          </w:tcPr>
          <w:p>
            <w:pPr>
              <w:jc w:val="center"/>
              <w:rPr>
                <w:rFonts w:ascii="宋体" w:hAns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4395" w:type="dxa"/>
            <w:gridSpan w:val="4"/>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noWrap w:val="0"/>
            <w:vAlign w:val="center"/>
          </w:tcPr>
          <w:p>
            <w:pPr>
              <w:rPr>
                <w:rFonts w:ascii="宋体" w:hAnsi="宋体"/>
                <w:szCs w:val="21"/>
              </w:rPr>
            </w:pPr>
            <w:r>
              <w:rPr>
                <w:rFonts w:hint="eastAsia" w:ascii="宋体" w:hAnsi="宋体"/>
                <w:szCs w:val="21"/>
              </w:rPr>
              <w:t>证件号码</w:t>
            </w:r>
          </w:p>
        </w:tc>
        <w:tc>
          <w:tcPr>
            <w:tcW w:w="8080" w:type="dxa"/>
            <w:gridSpan w:val="8"/>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noWrap w:val="0"/>
            <w:vAlign w:val="center"/>
          </w:tcPr>
          <w:p>
            <w:pPr>
              <w:rPr>
                <w:rFonts w:ascii="宋体" w:hAnsi="宋体"/>
                <w:szCs w:val="21"/>
              </w:rPr>
            </w:pPr>
            <w:r>
              <w:rPr>
                <w:rFonts w:hint="eastAsia" w:ascii="宋体" w:hAnsi="宋体"/>
                <w:szCs w:val="21"/>
              </w:rPr>
              <w:t>籍    贯</w:t>
            </w:r>
          </w:p>
        </w:tc>
        <w:tc>
          <w:tcPr>
            <w:tcW w:w="2551" w:type="dxa"/>
            <w:gridSpan w:val="2"/>
            <w:noWrap w:val="0"/>
            <w:vAlign w:val="center"/>
          </w:tcPr>
          <w:p>
            <w:pPr>
              <w:rPr>
                <w:rFonts w:ascii="宋体" w:hAnsi="宋体"/>
                <w:szCs w:val="21"/>
              </w:rPr>
            </w:pPr>
            <w:r>
              <w:rPr>
                <w:rFonts w:hint="eastAsia" w:ascii="宋体" w:hAnsi="宋体"/>
                <w:szCs w:val="21"/>
              </w:rPr>
              <w:t xml:space="preserve">    省</w:t>
            </w:r>
            <w:r>
              <w:rPr>
                <w:rFonts w:ascii="宋体" w:hAnsi="宋体"/>
                <w:szCs w:val="21"/>
              </w:rPr>
              <w:t>/</w:t>
            </w:r>
            <w:r>
              <w:rPr>
                <w:rFonts w:hint="eastAsia" w:ascii="宋体" w:hAnsi="宋体"/>
                <w:szCs w:val="21"/>
              </w:rPr>
              <w:t>直辖市</w:t>
            </w:r>
            <w:r>
              <w:rPr>
                <w:rFonts w:ascii="宋体" w:hAnsi="宋体"/>
                <w:szCs w:val="21"/>
              </w:rPr>
              <w:t xml:space="preserve">     </w:t>
            </w:r>
            <w:r>
              <w:rPr>
                <w:rFonts w:hint="eastAsia" w:ascii="宋体" w:hAnsi="宋体"/>
                <w:szCs w:val="21"/>
              </w:rPr>
              <w:t>市</w:t>
            </w:r>
          </w:p>
        </w:tc>
        <w:tc>
          <w:tcPr>
            <w:tcW w:w="1134" w:type="dxa"/>
            <w:gridSpan w:val="2"/>
            <w:noWrap w:val="0"/>
            <w:vAlign w:val="center"/>
          </w:tcPr>
          <w:p>
            <w:pPr>
              <w:rPr>
                <w:rFonts w:ascii="宋体" w:hAnsi="宋体"/>
                <w:szCs w:val="21"/>
              </w:rPr>
            </w:pPr>
            <w:r>
              <w:rPr>
                <w:rFonts w:hint="eastAsia" w:ascii="宋体" w:hAnsi="宋体"/>
                <w:szCs w:val="21"/>
              </w:rPr>
              <w:t>民    族</w:t>
            </w:r>
          </w:p>
        </w:tc>
        <w:tc>
          <w:tcPr>
            <w:tcW w:w="1701" w:type="dxa"/>
            <w:noWrap w:val="0"/>
            <w:vAlign w:val="center"/>
          </w:tcPr>
          <w:p>
            <w:pPr>
              <w:rPr>
                <w:rFonts w:ascii="宋体" w:hAnsi="宋体"/>
                <w:szCs w:val="21"/>
              </w:rPr>
            </w:pPr>
          </w:p>
        </w:tc>
        <w:tc>
          <w:tcPr>
            <w:tcW w:w="1134" w:type="dxa"/>
            <w:gridSpan w:val="2"/>
            <w:noWrap w:val="0"/>
            <w:vAlign w:val="center"/>
          </w:tcPr>
          <w:p>
            <w:pPr>
              <w:rPr>
                <w:rFonts w:ascii="宋体" w:hAnsi="宋体"/>
                <w:szCs w:val="21"/>
              </w:rPr>
            </w:pPr>
            <w:r>
              <w:rPr>
                <w:rFonts w:hint="eastAsia" w:ascii="宋体" w:hAnsi="宋体"/>
                <w:szCs w:val="21"/>
              </w:rPr>
              <w:t>政治面貌</w:t>
            </w:r>
          </w:p>
        </w:tc>
        <w:tc>
          <w:tcPr>
            <w:tcW w:w="1560"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noWrap w:val="0"/>
            <w:vAlign w:val="center"/>
          </w:tcPr>
          <w:p>
            <w:pPr>
              <w:rPr>
                <w:rFonts w:ascii="宋体" w:hAnsi="宋体"/>
                <w:szCs w:val="21"/>
              </w:rPr>
            </w:pPr>
            <w:r>
              <w:rPr>
                <w:rFonts w:hint="eastAsia" w:ascii="宋体" w:hAnsi="宋体"/>
                <w:szCs w:val="21"/>
              </w:rPr>
              <w:t>办公地址</w:t>
            </w:r>
          </w:p>
        </w:tc>
        <w:tc>
          <w:tcPr>
            <w:tcW w:w="2551" w:type="dxa"/>
            <w:gridSpan w:val="2"/>
            <w:noWrap w:val="0"/>
            <w:vAlign w:val="center"/>
          </w:tcPr>
          <w:p>
            <w:pPr>
              <w:rPr>
                <w:rFonts w:ascii="宋体" w:hAnsi="宋体"/>
                <w:szCs w:val="21"/>
              </w:rPr>
            </w:pPr>
          </w:p>
        </w:tc>
        <w:tc>
          <w:tcPr>
            <w:tcW w:w="1134" w:type="dxa"/>
            <w:gridSpan w:val="2"/>
            <w:noWrap w:val="0"/>
            <w:vAlign w:val="center"/>
          </w:tcPr>
          <w:p>
            <w:pPr>
              <w:rPr>
                <w:rFonts w:ascii="宋体" w:hAnsi="宋体"/>
                <w:szCs w:val="21"/>
              </w:rPr>
            </w:pPr>
            <w:r>
              <w:rPr>
                <w:rFonts w:hint="eastAsia" w:ascii="宋体" w:hAnsi="宋体"/>
                <w:szCs w:val="21"/>
              </w:rPr>
              <w:t>邮    箱</w:t>
            </w:r>
          </w:p>
        </w:tc>
        <w:tc>
          <w:tcPr>
            <w:tcW w:w="4395" w:type="dxa"/>
            <w:gridSpan w:val="4"/>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noWrap w:val="0"/>
            <w:vAlign w:val="center"/>
          </w:tcPr>
          <w:p>
            <w:pPr>
              <w:rPr>
                <w:rFonts w:ascii="宋体" w:hAns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p>
        </w:tc>
        <w:tc>
          <w:tcPr>
            <w:tcW w:w="2551" w:type="dxa"/>
            <w:gridSpan w:val="2"/>
            <w:noWrap w:val="0"/>
            <w:vAlign w:val="center"/>
          </w:tcPr>
          <w:p>
            <w:pPr>
              <w:rPr>
                <w:rFonts w:ascii="宋体" w:hAnsi="宋体"/>
                <w:szCs w:val="21"/>
              </w:rPr>
            </w:pPr>
          </w:p>
        </w:tc>
        <w:tc>
          <w:tcPr>
            <w:tcW w:w="1134" w:type="dxa"/>
            <w:gridSpan w:val="2"/>
            <w:noWrap w:val="0"/>
            <w:vAlign w:val="center"/>
          </w:tcPr>
          <w:p>
            <w:pPr>
              <w:rPr>
                <w:rFonts w:ascii="宋体" w:hAnsi="宋体"/>
                <w:szCs w:val="21"/>
              </w:rPr>
            </w:pPr>
            <w:r>
              <w:rPr>
                <w:rFonts w:hint="eastAsia" w:ascii="宋体" w:hAnsi="宋体"/>
                <w:szCs w:val="21"/>
              </w:rPr>
              <w:t>办公电话</w:t>
            </w:r>
          </w:p>
        </w:tc>
        <w:tc>
          <w:tcPr>
            <w:tcW w:w="1701" w:type="dxa"/>
            <w:noWrap w:val="0"/>
            <w:vAlign w:val="center"/>
          </w:tcPr>
          <w:p>
            <w:pPr>
              <w:rPr>
                <w:rFonts w:ascii="宋体" w:hAnsi="宋体"/>
                <w:szCs w:val="21"/>
              </w:rPr>
            </w:pPr>
          </w:p>
        </w:tc>
        <w:tc>
          <w:tcPr>
            <w:tcW w:w="1134" w:type="dxa"/>
            <w:gridSpan w:val="2"/>
            <w:noWrap w:val="0"/>
            <w:vAlign w:val="center"/>
          </w:tcPr>
          <w:p>
            <w:pPr>
              <w:rPr>
                <w:rFonts w:hint="eastAsia" w:ascii="宋体" w:hAnsi="宋体" w:eastAsia="宋体"/>
                <w:szCs w:val="21"/>
                <w:lang w:val="en-US" w:eastAsia="zh-CN"/>
              </w:rPr>
            </w:pPr>
            <w:r>
              <w:rPr>
                <w:rFonts w:hint="eastAsia" w:ascii="宋体" w:hAnsi="宋体"/>
                <w:szCs w:val="21"/>
                <w:lang w:val="en-US" w:eastAsia="zh-CN"/>
              </w:rPr>
              <w:t>微信号码</w:t>
            </w:r>
          </w:p>
        </w:tc>
        <w:tc>
          <w:tcPr>
            <w:tcW w:w="1560"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6" w:type="dxa"/>
            <w:gridSpan w:val="9"/>
            <w:shd w:val="clear" w:color="auto" w:fill="BFBFBF"/>
            <w:noWrap w:val="0"/>
            <w:vAlign w:val="center"/>
          </w:tcPr>
          <w:p>
            <w:pPr>
              <w:jc w:val="center"/>
              <w:rPr>
                <w:rFonts w:hint="eastAsia" w:ascii="宋体" w:hAnsi="宋体" w:eastAsia="宋体"/>
                <w:szCs w:val="21"/>
                <w:lang w:eastAsia="zh-CN"/>
              </w:rPr>
            </w:pPr>
            <w:r>
              <w:rPr>
                <w:rFonts w:hint="eastAsia" w:ascii="宋体" w:hAnsi="宋体"/>
                <w:b/>
                <w:szCs w:val="21"/>
                <w:lang w:val="en-US" w:eastAsia="zh-CN"/>
              </w:rPr>
              <w:t>单位资料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gridSpan w:val="2"/>
            <w:noWrap w:val="0"/>
            <w:vAlign w:val="center"/>
          </w:tcPr>
          <w:p>
            <w:pPr>
              <w:rPr>
                <w:rFonts w:ascii="宋体" w:hAnsi="宋体"/>
                <w:szCs w:val="21"/>
              </w:rPr>
            </w:pPr>
            <w:r>
              <w:rPr>
                <w:rFonts w:hint="eastAsia" w:ascii="宋体" w:hAnsi="宋体"/>
                <w:szCs w:val="21"/>
                <w:lang w:val="en-US" w:eastAsia="zh-CN"/>
              </w:rPr>
              <w:t>单位创立</w:t>
            </w:r>
            <w:r>
              <w:rPr>
                <w:rFonts w:hint="eastAsia" w:ascii="宋体" w:hAnsi="宋体"/>
                <w:szCs w:val="21"/>
              </w:rPr>
              <w:t>时间</w:t>
            </w:r>
          </w:p>
        </w:tc>
        <w:tc>
          <w:tcPr>
            <w:tcW w:w="2976" w:type="dxa"/>
            <w:gridSpan w:val="3"/>
            <w:noWrap w:val="0"/>
            <w:vAlign w:val="center"/>
          </w:tcPr>
          <w:p>
            <w:pPr>
              <w:jc w:val="right"/>
              <w:rPr>
                <w:rFonts w:ascii="宋体" w:hAnsi="宋体"/>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月</w:t>
            </w:r>
          </w:p>
        </w:tc>
        <w:tc>
          <w:tcPr>
            <w:tcW w:w="2127" w:type="dxa"/>
            <w:gridSpan w:val="2"/>
            <w:noWrap w:val="0"/>
            <w:vAlign w:val="center"/>
          </w:tcPr>
          <w:p>
            <w:pPr>
              <w:rPr>
                <w:rFonts w:ascii="宋体" w:hAnsi="宋体"/>
                <w:szCs w:val="21"/>
              </w:rPr>
            </w:pPr>
            <w:r>
              <w:rPr>
                <w:rFonts w:hint="eastAsia" w:ascii="宋体" w:hAnsi="宋体"/>
                <w:szCs w:val="21"/>
              </w:rPr>
              <w:t>担任管理工作时间</w:t>
            </w:r>
          </w:p>
        </w:tc>
        <w:tc>
          <w:tcPr>
            <w:tcW w:w="2268" w:type="dxa"/>
            <w:gridSpan w:val="2"/>
            <w:noWrap w:val="0"/>
            <w:vAlign w:val="center"/>
          </w:tcPr>
          <w:p>
            <w:pPr>
              <w:jc w:val="right"/>
              <w:rPr>
                <w:rFonts w:ascii="宋体" w:hAnsi="宋体"/>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gridSpan w:val="2"/>
            <w:noWrap w:val="0"/>
            <w:vAlign w:val="center"/>
          </w:tcPr>
          <w:p>
            <w:pPr>
              <w:rPr>
                <w:rFonts w:ascii="宋体" w:hAnsi="宋体"/>
                <w:szCs w:val="21"/>
              </w:rPr>
            </w:pPr>
            <w:r>
              <w:rPr>
                <w:rFonts w:hint="eastAsia" w:ascii="宋体" w:hAnsi="宋体"/>
                <w:szCs w:val="21"/>
              </w:rPr>
              <w:t>单位名称</w:t>
            </w:r>
          </w:p>
        </w:tc>
        <w:tc>
          <w:tcPr>
            <w:tcW w:w="2976" w:type="dxa"/>
            <w:gridSpan w:val="3"/>
            <w:noWrap w:val="0"/>
            <w:vAlign w:val="center"/>
          </w:tcPr>
          <w:p>
            <w:pPr>
              <w:rPr>
                <w:rFonts w:ascii="宋体" w:hAnsi="宋体"/>
                <w:szCs w:val="21"/>
              </w:rPr>
            </w:pPr>
          </w:p>
        </w:tc>
        <w:tc>
          <w:tcPr>
            <w:tcW w:w="2127" w:type="dxa"/>
            <w:gridSpan w:val="2"/>
            <w:noWrap w:val="0"/>
            <w:vAlign w:val="center"/>
          </w:tcPr>
          <w:p>
            <w:pPr>
              <w:rPr>
                <w:rFonts w:ascii="宋体" w:hAnsi="宋体"/>
                <w:szCs w:val="21"/>
              </w:rPr>
            </w:pPr>
            <w:r>
              <w:rPr>
                <w:rFonts w:hint="eastAsia" w:ascii="宋体" w:hAnsi="宋体"/>
                <w:szCs w:val="21"/>
              </w:rPr>
              <w:t>单位网址</w:t>
            </w:r>
          </w:p>
        </w:tc>
        <w:tc>
          <w:tcPr>
            <w:tcW w:w="2268" w:type="dxa"/>
            <w:gridSpan w:val="2"/>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gridSpan w:val="2"/>
            <w:noWrap w:val="0"/>
            <w:vAlign w:val="center"/>
          </w:tcPr>
          <w:p>
            <w:pPr>
              <w:rPr>
                <w:rFonts w:ascii="宋体" w:hAnsi="宋体"/>
                <w:szCs w:val="21"/>
              </w:rPr>
            </w:pPr>
            <w:r>
              <w:rPr>
                <w:rFonts w:hint="eastAsia" w:ascii="宋体" w:hAnsi="宋体"/>
                <w:szCs w:val="21"/>
              </w:rPr>
              <w:t>职务</w:t>
            </w:r>
          </w:p>
        </w:tc>
        <w:tc>
          <w:tcPr>
            <w:tcW w:w="2976" w:type="dxa"/>
            <w:gridSpan w:val="3"/>
            <w:noWrap w:val="0"/>
            <w:vAlign w:val="center"/>
          </w:tcPr>
          <w:p>
            <w:pPr>
              <w:rPr>
                <w:rFonts w:ascii="宋体" w:hAnsi="宋体"/>
                <w:szCs w:val="21"/>
              </w:rPr>
            </w:pPr>
          </w:p>
        </w:tc>
        <w:tc>
          <w:tcPr>
            <w:tcW w:w="2127" w:type="dxa"/>
            <w:gridSpan w:val="2"/>
            <w:noWrap w:val="0"/>
            <w:vAlign w:val="center"/>
          </w:tcPr>
          <w:p>
            <w:pPr>
              <w:rPr>
                <w:rFonts w:ascii="宋体" w:hAnsi="宋体"/>
                <w:szCs w:val="21"/>
              </w:rPr>
            </w:pPr>
            <w:r>
              <w:rPr>
                <w:rFonts w:hint="eastAsia" w:ascii="宋体" w:hAnsi="宋体"/>
                <w:szCs w:val="21"/>
              </w:rPr>
              <w:t>技术职称</w:t>
            </w:r>
          </w:p>
        </w:tc>
        <w:tc>
          <w:tcPr>
            <w:tcW w:w="2268" w:type="dxa"/>
            <w:gridSpan w:val="2"/>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235" w:type="dxa"/>
            <w:gridSpan w:val="2"/>
            <w:noWrap w:val="0"/>
            <w:vAlign w:val="center"/>
          </w:tcPr>
          <w:p>
            <w:pPr>
              <w:rPr>
                <w:rFonts w:ascii="宋体" w:hAnsi="宋体"/>
                <w:szCs w:val="21"/>
              </w:rPr>
            </w:pPr>
            <w:r>
              <w:rPr>
                <w:rFonts w:hint="eastAsia" w:ascii="宋体" w:hAnsi="宋体"/>
                <w:szCs w:val="21"/>
              </w:rPr>
              <w:t>贵单位员工</w:t>
            </w:r>
            <w:r>
              <w:rPr>
                <w:rFonts w:hint="eastAsia" w:ascii="宋体" w:hAnsi="宋体"/>
                <w:szCs w:val="21"/>
                <w:lang w:val="en-US" w:eastAsia="zh-CN"/>
              </w:rPr>
              <w:t>总</w:t>
            </w:r>
            <w:r>
              <w:rPr>
                <w:rFonts w:hint="eastAsia" w:ascii="宋体" w:hAnsi="宋体"/>
                <w:szCs w:val="21"/>
              </w:rPr>
              <w:t>人数</w:t>
            </w:r>
          </w:p>
        </w:tc>
        <w:tc>
          <w:tcPr>
            <w:tcW w:w="2976" w:type="dxa"/>
            <w:gridSpan w:val="3"/>
            <w:noWrap w:val="0"/>
            <w:vAlign w:val="center"/>
          </w:tcPr>
          <w:p>
            <w:pPr>
              <w:jc w:val="right"/>
              <w:rPr>
                <w:rFonts w:ascii="宋体" w:hAnsi="宋体"/>
                <w:szCs w:val="21"/>
              </w:rPr>
            </w:pPr>
            <w:r>
              <w:rPr>
                <w:rFonts w:hint="eastAsia" w:ascii="宋体" w:hAnsi="宋体"/>
                <w:szCs w:val="21"/>
              </w:rPr>
              <w:t xml:space="preserve">    </w:t>
            </w:r>
          </w:p>
        </w:tc>
        <w:tc>
          <w:tcPr>
            <w:tcW w:w="2127" w:type="dxa"/>
            <w:gridSpan w:val="2"/>
            <w:noWrap w:val="0"/>
            <w:vAlign w:val="center"/>
          </w:tcPr>
          <w:p>
            <w:pPr>
              <w:rPr>
                <w:rFonts w:ascii="宋体" w:hAnsi="宋体"/>
                <w:szCs w:val="21"/>
              </w:rPr>
            </w:pPr>
            <w:r>
              <w:rPr>
                <w:rFonts w:hint="eastAsia" w:ascii="宋体" w:hAnsi="宋体"/>
                <w:szCs w:val="21"/>
                <w:lang w:val="en-US" w:eastAsia="zh-CN"/>
              </w:rPr>
              <w:t>亲自</w:t>
            </w:r>
            <w:r>
              <w:rPr>
                <w:rFonts w:hint="eastAsia" w:ascii="宋体" w:hAnsi="宋体"/>
                <w:szCs w:val="21"/>
              </w:rPr>
              <w:t>管辖的员工人数</w:t>
            </w:r>
          </w:p>
        </w:tc>
        <w:tc>
          <w:tcPr>
            <w:tcW w:w="2268" w:type="dxa"/>
            <w:gridSpan w:val="2"/>
            <w:noWrap w:val="0"/>
            <w:vAlign w:val="center"/>
          </w:tcPr>
          <w:p>
            <w:pPr>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gridSpan w:val="2"/>
            <w:noWrap w:val="0"/>
            <w:vAlign w:val="center"/>
          </w:tcPr>
          <w:p>
            <w:pPr>
              <w:rPr>
                <w:rFonts w:ascii="宋体" w:hAnsi="宋体"/>
                <w:szCs w:val="21"/>
              </w:rPr>
            </w:pPr>
            <w:r>
              <w:rPr>
                <w:rFonts w:hint="eastAsia" w:ascii="宋体" w:hAnsi="宋体"/>
                <w:szCs w:val="21"/>
              </w:rPr>
              <w:t>贵单位上年度总资产</w:t>
            </w:r>
          </w:p>
        </w:tc>
        <w:tc>
          <w:tcPr>
            <w:tcW w:w="7371" w:type="dxa"/>
            <w:gridSpan w:val="7"/>
            <w:noWrap w:val="0"/>
            <w:vAlign w:val="center"/>
          </w:tcPr>
          <w:p>
            <w:pPr>
              <w:jc w:val="center"/>
              <w:rPr>
                <w:rFonts w:ascii="宋体" w:hAnsi="宋体"/>
                <w:szCs w:val="21"/>
              </w:rPr>
            </w:pPr>
            <w:r>
              <w:rPr>
                <w:rFonts w:hint="eastAsia" w:ascii="宋体" w:hAnsi="宋体"/>
                <w:szCs w:val="21"/>
              </w:rPr>
              <w:t>（亿）人民币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6" w:type="dxa"/>
            <w:gridSpan w:val="9"/>
            <w:shd w:val="clear" w:color="auto" w:fill="BFBFBF"/>
            <w:noWrap w:val="0"/>
            <w:vAlign w:val="center"/>
          </w:tcPr>
          <w:p>
            <w:pPr>
              <w:jc w:val="center"/>
              <w:rPr>
                <w:rFonts w:ascii="宋体" w:hAnsi="宋体"/>
                <w:szCs w:val="21"/>
              </w:rPr>
            </w:pPr>
            <w:r>
              <w:rPr>
                <w:rFonts w:hint="eastAsia" w:ascii="宋体" w:hAnsi="宋体"/>
                <w:b/>
                <w:szCs w:val="21"/>
              </w:rPr>
              <w:t>学籍档案材料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61" w:type="dxa"/>
            <w:gridSpan w:val="4"/>
            <w:noWrap w:val="0"/>
            <w:vAlign w:val="center"/>
          </w:tcPr>
          <w:p>
            <w:pPr>
              <w:rPr>
                <w:rFonts w:ascii="宋体" w:hAnsi="宋体"/>
                <w:szCs w:val="21"/>
              </w:rPr>
            </w:pPr>
            <w:r>
              <w:rPr>
                <w:rFonts w:hint="eastAsia" w:ascii="宋体" w:hAnsi="宋体"/>
                <w:szCs w:val="21"/>
              </w:rPr>
              <w:t xml:space="preserve">◆ </w:t>
            </w:r>
            <w:r>
              <w:rPr>
                <w:rFonts w:hint="eastAsia" w:ascii="宋体" w:hAnsi="宋体"/>
                <w:szCs w:val="21"/>
                <w:lang w:val="en-US" w:eastAsia="zh-CN"/>
              </w:rPr>
              <w:t>两</w:t>
            </w:r>
            <w:r>
              <w:rPr>
                <w:rFonts w:hint="eastAsia" w:ascii="宋体" w:hAnsi="宋体"/>
                <w:szCs w:val="21"/>
              </w:rPr>
              <w:t>张</w:t>
            </w:r>
            <w:r>
              <w:rPr>
                <w:rFonts w:hint="eastAsia" w:ascii="宋体" w:hAnsi="宋体"/>
                <w:szCs w:val="21"/>
                <w:lang w:val="en-US" w:eastAsia="zh-CN"/>
              </w:rPr>
              <w:t>2</w:t>
            </w:r>
            <w:r>
              <w:rPr>
                <w:rFonts w:hint="eastAsia" w:ascii="宋体" w:hAnsi="宋体"/>
                <w:szCs w:val="21"/>
              </w:rPr>
              <w:t xml:space="preserve">寸蓝底近照 (电子版)  </w:t>
            </w:r>
          </w:p>
        </w:tc>
        <w:tc>
          <w:tcPr>
            <w:tcW w:w="5245" w:type="dxa"/>
            <w:gridSpan w:val="5"/>
            <w:noWrap w:val="0"/>
            <w:vAlign w:val="center"/>
          </w:tcPr>
          <w:p>
            <w:pPr>
              <w:rPr>
                <w:rFonts w:ascii="宋体" w:hAnsi="宋体"/>
                <w:szCs w:val="21"/>
              </w:rPr>
            </w:pPr>
            <w:r>
              <w:rPr>
                <w:rFonts w:hint="eastAsia" w:ascii="宋体" w:hAnsi="宋体"/>
                <w:szCs w:val="21"/>
              </w:rPr>
              <w:t>◆ 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61" w:type="dxa"/>
            <w:gridSpan w:val="4"/>
            <w:noWrap w:val="0"/>
            <w:vAlign w:val="center"/>
          </w:tcPr>
          <w:p>
            <w:pPr>
              <w:rPr>
                <w:rFonts w:ascii="宋体" w:hAnsi="宋体"/>
                <w:szCs w:val="21"/>
              </w:rPr>
            </w:pPr>
            <w:r>
              <w:rPr>
                <w:rFonts w:hint="eastAsia" w:ascii="宋体" w:hAnsi="宋体"/>
                <w:szCs w:val="21"/>
              </w:rPr>
              <w:t>◆ 两张名片</w:t>
            </w:r>
          </w:p>
        </w:tc>
        <w:tc>
          <w:tcPr>
            <w:tcW w:w="5245" w:type="dxa"/>
            <w:gridSpan w:val="5"/>
            <w:noWrap w:val="0"/>
            <w:vAlign w:val="center"/>
          </w:tcPr>
          <w:p>
            <w:pPr>
              <w:rPr>
                <w:rFonts w:ascii="宋体" w:hAnsi="宋体"/>
                <w:szCs w:val="21"/>
              </w:rPr>
            </w:pPr>
            <w:r>
              <w:rPr>
                <w:rFonts w:hint="eastAsia" w:ascii="宋体" w:hAnsi="宋体"/>
                <w:szCs w:val="21"/>
              </w:rPr>
              <w:t>◆ 最高学历 、学位证书复印件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606" w:type="dxa"/>
            <w:gridSpan w:val="9"/>
            <w:shd w:val="clear" w:color="auto" w:fill="BFBFBF"/>
            <w:noWrap w:val="0"/>
            <w:vAlign w:val="center"/>
          </w:tcPr>
          <w:p>
            <w:pPr>
              <w:rPr>
                <w:rFonts w:ascii="宋体" w:hAnsi="宋体"/>
                <w:b/>
                <w:szCs w:val="21"/>
              </w:rPr>
            </w:pPr>
            <w:r>
              <w:rPr>
                <w:rFonts w:hint="eastAsia" w:ascii="宋体" w:hAnsi="宋体"/>
                <w:b/>
                <w:szCs w:val="21"/>
              </w:rPr>
              <w:t>请将申请表发回至：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6" w:hRule="atLeast"/>
        </w:trPr>
        <w:tc>
          <w:tcPr>
            <w:tcW w:w="9606" w:type="dxa"/>
            <w:gridSpan w:val="9"/>
            <w:noWrap w:val="0"/>
            <w:vAlign w:val="top"/>
          </w:tcPr>
          <w:p>
            <w:pPr>
              <w:spacing w:line="400" w:lineRule="exact"/>
              <w:rPr>
                <w:rFonts w:ascii="宋体" w:hAnsi="宋体"/>
                <w:szCs w:val="21"/>
              </w:rPr>
            </w:pPr>
            <w:r>
              <w:rPr>
                <w:rFonts w:hint="eastAsia" w:ascii="宋体" w:hAnsi="宋体"/>
                <w:szCs w:val="21"/>
              </w:rPr>
              <w:t>联系人：</w:t>
            </w:r>
            <w:r>
              <w:rPr>
                <w:rFonts w:ascii="宋体" w:hAnsi="宋体"/>
                <w:szCs w:val="21"/>
              </w:rPr>
              <w:t xml:space="preserve"> </w:t>
            </w:r>
          </w:p>
          <w:p>
            <w:pPr>
              <w:spacing w:line="400" w:lineRule="exact"/>
              <w:rPr>
                <w:rFonts w:hint="eastAsia" w:ascii="宋体" w:hAnsi="宋体"/>
                <w:szCs w:val="21"/>
              </w:rPr>
            </w:pPr>
            <w:r>
              <w:rPr>
                <w:rFonts w:hint="eastAsia" w:ascii="宋体" w:hAnsi="宋体"/>
                <w:szCs w:val="21"/>
              </w:rPr>
              <w:t xml:space="preserve">电  话： </w:t>
            </w:r>
          </w:p>
          <w:p>
            <w:pPr>
              <w:spacing w:line="400" w:lineRule="exact"/>
              <w:rPr>
                <w:rFonts w:hint="eastAsia" w:ascii="宋体" w:hAnsi="宋体" w:eastAsia="宋体"/>
                <w:szCs w:val="21"/>
                <w:lang w:val="en-US" w:eastAsia="zh-CN"/>
              </w:rPr>
            </w:pPr>
            <w:r>
              <w:rPr>
                <w:rFonts w:hint="eastAsia" w:ascii="宋体" w:hAnsi="宋体"/>
                <w:szCs w:val="21"/>
                <w:lang w:val="en-US" w:eastAsia="zh-CN"/>
              </w:rPr>
              <w:t>微  信：</w:t>
            </w:r>
          </w:p>
          <w:p>
            <w:pPr>
              <w:spacing w:line="400" w:lineRule="exact"/>
              <w:rPr>
                <w:rFonts w:ascii="宋体" w:hAnsi="宋体"/>
                <w:szCs w:val="21"/>
              </w:rPr>
            </w:pPr>
            <w:r>
              <w:rPr>
                <w:rFonts w:hint="eastAsia" w:ascii="宋体" w:hAnsi="宋体"/>
                <w:szCs w:val="21"/>
                <w:lang w:val="en-US" w:eastAsia="zh-CN"/>
              </w:rPr>
              <w:t>邮  箱</w:t>
            </w:r>
            <w:r>
              <w:rPr>
                <w:rFonts w:hint="eastAsia" w:ascii="宋体" w:hAnsi="宋体"/>
                <w:szCs w:val="21"/>
              </w:rPr>
              <w:t xml:space="preserve">： </w:t>
            </w:r>
          </w:p>
          <w:p>
            <w:pPr>
              <w:spacing w:line="400" w:lineRule="exact"/>
              <w:rPr>
                <w:rFonts w:ascii="宋体" w:hAnsi="宋体"/>
                <w:szCs w:val="21"/>
              </w:rPr>
            </w:pPr>
            <w:r>
              <w:rPr>
                <w:rFonts w:hint="eastAsia" w:ascii="宋体" w:hAnsi="宋体"/>
                <w:szCs w:val="21"/>
              </w:rPr>
              <w:t xml:space="preserve">本申请表为保密文件，仅供招生委员会使用 </w:t>
            </w:r>
            <w:r>
              <w:rPr>
                <w:rFonts w:hint="eastAsia" w:ascii="宋体" w:hAnsi="宋体"/>
                <w:szCs w:val="21"/>
                <w:lang w:eastAsia="zh-CN"/>
              </w:rPr>
              <w:t>。</w:t>
            </w:r>
          </w:p>
        </w:tc>
      </w:tr>
    </w:tbl>
    <w:p>
      <w:pPr>
        <w:widowControl/>
        <w:shd w:val="clear" w:color="auto" w:fill="FFFFFF"/>
        <w:spacing w:line="560" w:lineRule="exact"/>
        <w:jc w:val="both"/>
        <w:rPr>
          <w:rFonts w:asciiTheme="majorEastAsia" w:hAnsiTheme="majorEastAsia" w:eastAsiaTheme="majorEastAsia"/>
          <w:sz w:val="24"/>
          <w:szCs w:val="24"/>
        </w:rPr>
      </w:pPr>
    </w:p>
    <w:p>
      <w:pPr>
        <w:widowControl/>
        <w:shd w:val="clear" w:color="auto" w:fill="FFFFFF"/>
        <w:spacing w:line="560" w:lineRule="exact"/>
        <w:jc w:val="both"/>
        <w:rPr>
          <w:rFonts w:asciiTheme="majorEastAsia" w:hAnsiTheme="majorEastAsia" w:eastAsiaTheme="majorEastAsia"/>
          <w:sz w:val="24"/>
          <w:szCs w:val="24"/>
        </w:rPr>
      </w:pPr>
    </w:p>
    <w:p>
      <w:pPr>
        <w:widowControl/>
        <w:shd w:val="clear" w:color="auto" w:fill="FFFFFF"/>
        <w:spacing w:line="560" w:lineRule="exact"/>
        <w:jc w:val="both"/>
        <w:rPr>
          <w:rFonts w:asciiTheme="majorEastAsia" w:hAnsiTheme="majorEastAsia" w:eastAsiaTheme="majorEastAsia"/>
          <w:sz w:val="24"/>
          <w:szCs w:val="24"/>
        </w:rPr>
      </w:pPr>
    </w:p>
    <w:p>
      <w:pPr>
        <w:widowControl/>
        <w:shd w:val="clear" w:color="auto" w:fill="FFFFFF"/>
        <w:spacing w:line="560" w:lineRule="exact"/>
        <w:jc w:val="both"/>
        <w:rPr>
          <w:rFonts w:asciiTheme="majorEastAsia" w:hAnsiTheme="majorEastAsia" w:eastAsiaTheme="majorEastAsia"/>
          <w:sz w:val="24"/>
          <w:szCs w:val="24"/>
        </w:rPr>
      </w:pPr>
    </w:p>
    <w:sectPr>
      <w:pgSz w:w="11906" w:h="16838"/>
      <w:pgMar w:top="720" w:right="1134" w:bottom="720" w:left="1134"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6425"/>
    <w:rsid w:val="00121113"/>
    <w:rsid w:val="002855DF"/>
    <w:rsid w:val="00315FF2"/>
    <w:rsid w:val="003222A0"/>
    <w:rsid w:val="0035017E"/>
    <w:rsid w:val="003F6126"/>
    <w:rsid w:val="0042567F"/>
    <w:rsid w:val="004458DA"/>
    <w:rsid w:val="00497EC8"/>
    <w:rsid w:val="004E4F9A"/>
    <w:rsid w:val="00541525"/>
    <w:rsid w:val="00595AFE"/>
    <w:rsid w:val="005B78AC"/>
    <w:rsid w:val="00644181"/>
    <w:rsid w:val="006514B8"/>
    <w:rsid w:val="006D51CB"/>
    <w:rsid w:val="00705BED"/>
    <w:rsid w:val="007C2C9E"/>
    <w:rsid w:val="007C6814"/>
    <w:rsid w:val="007F1A8B"/>
    <w:rsid w:val="00812B5E"/>
    <w:rsid w:val="00857919"/>
    <w:rsid w:val="008B04F1"/>
    <w:rsid w:val="008B3D6F"/>
    <w:rsid w:val="008B6DA8"/>
    <w:rsid w:val="008E68B5"/>
    <w:rsid w:val="00937281"/>
    <w:rsid w:val="0095320E"/>
    <w:rsid w:val="0097547B"/>
    <w:rsid w:val="009B03E6"/>
    <w:rsid w:val="00A513D9"/>
    <w:rsid w:val="00AD53A2"/>
    <w:rsid w:val="00AF3836"/>
    <w:rsid w:val="00AF5BA3"/>
    <w:rsid w:val="00CD39BF"/>
    <w:rsid w:val="00CE201E"/>
    <w:rsid w:val="00D20CD1"/>
    <w:rsid w:val="00E376D3"/>
    <w:rsid w:val="00E53AE0"/>
    <w:rsid w:val="00F0097E"/>
    <w:rsid w:val="00F911E8"/>
    <w:rsid w:val="00FA5152"/>
    <w:rsid w:val="00FB1AFF"/>
    <w:rsid w:val="01CB17AB"/>
    <w:rsid w:val="05C9597D"/>
    <w:rsid w:val="07B22D32"/>
    <w:rsid w:val="0C1D1139"/>
    <w:rsid w:val="1902213A"/>
    <w:rsid w:val="20674A38"/>
    <w:rsid w:val="224279D4"/>
    <w:rsid w:val="22EA1BE0"/>
    <w:rsid w:val="24B56B8A"/>
    <w:rsid w:val="282F69C9"/>
    <w:rsid w:val="289A0182"/>
    <w:rsid w:val="292D69FF"/>
    <w:rsid w:val="29790D2F"/>
    <w:rsid w:val="2F800447"/>
    <w:rsid w:val="306563E0"/>
    <w:rsid w:val="33E75589"/>
    <w:rsid w:val="346A0041"/>
    <w:rsid w:val="37BC6AF3"/>
    <w:rsid w:val="41110105"/>
    <w:rsid w:val="48740CF3"/>
    <w:rsid w:val="4F9C2200"/>
    <w:rsid w:val="4FC3765D"/>
    <w:rsid w:val="509504E0"/>
    <w:rsid w:val="58D7448F"/>
    <w:rsid w:val="5D817136"/>
    <w:rsid w:val="62D45966"/>
    <w:rsid w:val="63DD34C2"/>
    <w:rsid w:val="71084C54"/>
    <w:rsid w:val="777A4471"/>
    <w:rsid w:val="77E817F4"/>
    <w:rsid w:val="7C0D2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564</Words>
  <Characters>3221</Characters>
  <Lines>26</Lines>
  <Paragraphs>7</Paragraphs>
  <TotalTime>17</TotalTime>
  <ScaleCrop>false</ScaleCrop>
  <LinksUpToDate>false</LinksUpToDate>
  <CharactersWithSpaces>3778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2016-12-12T06:56:00Z</dcterms:created>
  <dc:creator>user01</dc:creator>
  <cp:lastModifiedBy>郭朋云</cp:lastModifiedBy>
  <dcterms:modified xsi:type="dcterms:W3CDTF">2019-10-17T07:16:14Z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