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00" w:firstLineChars="1000"/>
        <w:rPr>
          <w:rFonts w:hint="eastAsia" w:eastAsiaTheme="minor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</w:rPr>
        <w:t>小小企业家</w:t>
      </w:r>
      <w:r>
        <w:rPr>
          <w:rFonts w:hint="eastAsia"/>
          <w:sz w:val="28"/>
          <w:szCs w:val="28"/>
          <w:lang w:val="en-US" w:eastAsia="zh-CN"/>
        </w:rPr>
        <w:t>培训班</w:t>
      </w:r>
    </w:p>
    <w:p>
      <w:pPr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上课形式：面授  学制：30-50课时 学费：详询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缺乏财商意识、没有正确的金钱观价值观、追求物质享受等；也适合企业家二代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通过财商意识的培养，梳理正确的金钱观、价值观，播种未来领袖的种子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3-15岁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、广州大学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研团队基于考夫曼OADI（见-解-思-行）个体学习循环理论，经过多年的调研、教研、实践、总结，研发出一套以“演讲口才训练”为主线，以“心智模型建设”为抓手，依托系统课程、场景任务式训练、周末集训营、国内外研学四种教学形式，遵循“行中感、感中学、学中说”的闭环逻辑，帮助青少年提升软素质综合能力，打造从容面向未来社会的精英。课程开设《少年自信口才》《情商沟通》《小绅士淑女训练营》《小小魅力主持人》《小小企业家》《思维导图与高效记忆》《青少年领袖特训营》《智慧父母》《正面管教》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F310B3"/>
    <w:rsid w:val="04F310B3"/>
    <w:rsid w:val="4264636D"/>
    <w:rsid w:val="6234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580</Words>
  <Characters>596</Characters>
  <Lines>0</Lines>
  <Paragraphs>0</Paragraphs>
  <TotalTime>1</TotalTime>
  <ScaleCrop>false</ScaleCrop>
  <LinksUpToDate>false</LinksUpToDate>
  <CharactersWithSpaces>599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2022-03-15T07:48:00Z</dcterms:created>
  <dc:creator>冰冰⊙▽⊙＊</dc:creator>
  <cp:lastModifiedBy>冰冰⊙▽⊙＊</cp:lastModifiedBy>
  <dcterms:modified xsi:type="dcterms:W3CDTF">2022-03-23T11:58:48Z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D4E8FAA9E4FB4739A052A61A6AD7F2A9</vt:lpwstr>
  </property>
</Properties>
</file>