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  <w:lang w:eastAsia="zh-CN"/>
        </w:rPr>
        <w:t>敏捷供应链与物流管理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val="en-US" w:eastAsia="zh-CN"/>
        </w:rPr>
        <w:t>2天</w:t>
      </w:r>
      <w:r>
        <w:rPr>
          <w:rFonts w:hint="eastAsia" w:ascii="微软雅黑" w:hAnsi="微软雅黑" w:eastAsia="微软雅黑"/>
          <w:b/>
          <w:bCs/>
          <w:color w:val="FF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  <w:bookmarkStart w:id="0" w:name="_GoBack"/>
      <w:bookmarkEnd w:id="0"/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 xml:space="preserve">3月28-29日 上海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 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 xml:space="preserve">7月25-26日上海 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 xml:space="preserve"> 11月28-29日 上海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  <w:sz w:val="20"/>
          <w:szCs w:val="20"/>
        </w:rPr>
        <w:t>企业物流与供应链经理和各级相关人员。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t xml:space="preserve"> </w:t>
      </w:r>
      <w:r>
        <w:rPr>
          <w:rFonts w:ascii="微软雅黑" w:hAnsi="微软雅黑" w:eastAsia="微软雅黑"/>
          <w:b/>
          <w:szCs w:val="21"/>
        </w:rPr>
        <w:t>4800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szCs w:val="21"/>
        </w:rPr>
        <w:t>本课程致力于提高和完善物流供应链相关管理人员综合能力, 介绍和分析国际上先进的管理理念、物流及仓储控制技巧。以全面理论体系为基础，整合大量案例帮助参与者提升物流与供应链管理战略能力、实际操作能力、优化管理技术和掌握相关运作技巧。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课程收益：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物流管理、供应链管理的前沿最新理念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物流供应链战略掌控职能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从传统物流向供应链延生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供应链管理中的物流成本控制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第三方物流供应商选择策略及管理技巧</w:t>
      </w:r>
    </w:p>
    <w:p>
      <w:pPr>
        <w:numPr>
          <w:ilvl w:val="0"/>
          <w:numId w:val="1"/>
        </w:num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未来物流供应链发展趋势、企业如何响应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一、物流供应链管理的核心理念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1、供应链管理和物流管理的区别和内在联系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2、物流的终极目标？供应链决策的核心。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3、供应链的决策步骤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4、物流战略对供应链企业的影响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5、精益生产的背景、大量生产的衰退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6、推式管理理念的形成（推式的优缺点分析，结合案例）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7、拉式管理的风靡（拉式的优缺点分析，结合案例）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8、如何有效衔接推拉管理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9、大批量定制MC与MP、LP的对比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11、物流延迟技术（宜家案例分析）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二、牛鞭效应及供应链需求放大风险的抑制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1、牛鞭效应产生背景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2、牛鞭效应对企业的伤害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3、降低牛鞭效应的措施：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库存控制技术、JIT、VMI、JMI、零库存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牛鞭效应产生机制及企业风险规避技巧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库存成本核算及控制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4、牛鞭效应的成因及预防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案例分析：P&amp;G经典牛鞭效应案例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5、JIT &amp; VMI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JIT与VMI的区别联系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JIT的实施要点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案例讨论：丰田、供应链物流中断经典案例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三、物流供应链系统库存控制技术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1、订货点库存决策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2、一次订货决策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3、如何重复订货决策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4、库存成本的结构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5、如何有效降低库存成本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6、到底什么是零库存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7、柔性库存管理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8、MRP MRPII CRP DRP ERP等核心管理技术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9、库存的风险分类，如何防范。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10、供应链周转库存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11、供应链不确定性管理: 安全库存 SS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12、物流经济批量EOQ</w:t>
      </w:r>
    </w:p>
    <w:p>
      <w:pPr>
        <w:adjustRightInd w:val="0"/>
        <w:snapToGrid w:val="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四、供应链管理中的物流成本控制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1、物流成本的构成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运输、库存成本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信用成本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税费成本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保险成本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缺货成本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2、物流成本控制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物流成本冰川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第三利润源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库存及运输成本控制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交货地选择、运输方式匹配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运费结构、不同运输方式运费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运费风险划分、如何规避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运输包装、物流模数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运输路线优化及设计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运输方案设计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五、第三方物流供应商的选择与管理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1、第三方物流的核心理念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第一方，第二方，第三方，第四方物流的区别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第三方物流分类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第三方物流的价值、第四方物流的发展趋势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2、第三方物流供应商的选择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第三方物流评估的标准</w:t>
      </w:r>
    </w:p>
    <w:p>
      <w:pPr>
        <w:pStyle w:val="23"/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第三方物流选择策略（层次分析AHP，活动成本法ABC）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3、第三方物流供应商的管理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第三方物流供应商绩效管理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六、如何打造具有安全又便利的国际供应链？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1、六步构建“贸易和海关合规体系”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2、企业未完善“贸易和海关合规体系”的五大风险：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违法违规风险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企业财税损失风险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企业生产经营供应链上的风险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贸易安全方面的风险</w:t>
      </w:r>
    </w:p>
    <w:p>
      <w:pPr>
        <w:numPr>
          <w:ilvl w:val="0"/>
          <w:numId w:val="2"/>
        </w:numPr>
        <w:adjustRightInd w:val="0"/>
        <w:snapToGrid w:val="0"/>
        <w:ind w:left="420" w:leftChars="0" w:hanging="42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海关信用等级降级风险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3、合规体系重点内容分析：正确划分贸易方式、加强“物流供应商”管理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4、如何正确申请AEO认证？AEO不是ISO。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5、如何选择AEO第三方辅导机构？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6、AEO九大热点问题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7、供应链合规的“终极防护墙”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七、绿色物流、绿色供应链、逆向物流、回收物流</w:t>
      </w:r>
    </w:p>
    <w:p>
      <w:pPr>
        <w:pStyle w:val="23"/>
        <w:numPr>
          <w:ilvl w:val="0"/>
          <w:numId w:val="0"/>
        </w:numPr>
        <w:adjustRightInd w:val="0"/>
        <w:snapToGrid w:val="0"/>
        <w:ind w:leftChars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绿色物流的核心思想</w:t>
      </w:r>
    </w:p>
    <w:p>
      <w:pPr>
        <w:pStyle w:val="23"/>
        <w:numPr>
          <w:ilvl w:val="0"/>
          <w:numId w:val="0"/>
        </w:numPr>
        <w:adjustRightInd w:val="0"/>
        <w:snapToGrid w:val="0"/>
        <w:ind w:left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绿色供应链发展趋势（案例分析）</w:t>
      </w:r>
    </w:p>
    <w:p>
      <w:pPr>
        <w:pStyle w:val="23"/>
        <w:numPr>
          <w:ilvl w:val="0"/>
          <w:numId w:val="0"/>
        </w:numPr>
        <w:adjustRightInd w:val="0"/>
        <w:snapToGrid w:val="0"/>
        <w:ind w:leftChars="0"/>
        <w:rPr>
          <w:rFonts w:hint="eastAsia"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530" w:space="425"/>
            <w:col w:w="4530"/>
          </w:cols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逆向物流、回收物流发展趋势（案例分析）</w:t>
      </w:r>
    </w:p>
    <w:p>
      <w:pPr>
        <w:pStyle w:val="23"/>
        <w:numPr>
          <w:ilvl w:val="0"/>
          <w:numId w:val="0"/>
        </w:numPr>
        <w:adjustRightInd w:val="0"/>
        <w:snapToGrid w:val="0"/>
        <w:ind w:leftChars="0"/>
        <w:rPr>
          <w:rFonts w:hint="eastAsia"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/>
          <w:b/>
          <w:sz w:val="24"/>
          <w:szCs w:val="21"/>
        </w:rPr>
        <w:t>罗老师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行业资质：</w:t>
      </w:r>
    </w:p>
    <w:p>
      <w:pPr>
        <w:adjustRightInd w:val="0"/>
        <w:snapToGrid w:val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上海交通大学硕士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帕迪公司国际物流与国际货运以及进出口专业高级讲师</w:t>
      </w:r>
    </w:p>
    <w:p>
      <w:pPr>
        <w:adjustRightInd w:val="0"/>
        <w:snapToGrid w:val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工作经历：</w:t>
      </w:r>
    </w:p>
    <w:p>
      <w:pPr>
        <w:pStyle w:val="23"/>
        <w:adjustRightInd w:val="0"/>
        <w:snapToGrid w:val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有较长时间企业工作经历，曾在中远物流有限公司工作，专门从事国际租船、班轮运输进出口相关业务，对供应链运作、国际物流风险防控、提单项下相关索赔流程、散货运输风险规避、货运通关等领域有较为深入的研究，为TNT物流、中国烟草集团、中国海运、上海医疗器械进出口公司等大型企业培训国际物流、供应链管理、进出口通关管理相关课程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风格与特点：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有10多年讲师经历的罗老师的授课：风格生动、幽默，讲解深入浅出。擅长于活泼、互动、研讨、演练、启发、体验、感悟等培训方式，并利用大量的案例，结合企业实际运作经验，培训内容实务性、可操作性极强，且提供多种实用的解决问题之工具及技巧。对参训者具有极大的吸引力、感染力，深受学员欢迎。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罗老师实战经验丰富，知识面广，能回答学员国际货运，运输，以及国际物流，关务，库存等的各种问题。学以致用、注重实际操作、突出实战性、理顺思维并系统化、传授最新、最先进并且有效的方法与经验。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主讲课程</w:t>
      </w:r>
      <w:r>
        <w:rPr>
          <w:rFonts w:hint="eastAsia" w:ascii="微软雅黑" w:hAnsi="微软雅黑" w:eastAsia="微软雅黑"/>
          <w:szCs w:val="21"/>
        </w:rPr>
        <w:t>：《</w:t>
      </w:r>
      <w:r>
        <w:rPr>
          <w:rFonts w:ascii="微软雅黑" w:hAnsi="微软雅黑" w:eastAsia="微软雅黑"/>
          <w:szCs w:val="21"/>
        </w:rPr>
        <w:t>国际物流与货运风险管控</w:t>
      </w:r>
      <w:r>
        <w:rPr>
          <w:rFonts w:hint="eastAsia" w:ascii="微软雅黑" w:hAnsi="微软雅黑" w:eastAsia="微软雅黑"/>
          <w:szCs w:val="21"/>
        </w:rPr>
        <w:t>》，《供应链中的库存管理》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服务的客户： 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星电子、西门子、爱默生、杜邦、梅兰日兰、德特威勒、卡西欧、华凌集团，德尔福、梅特勒－特利多、沈阳宝马、劳士领、延锋百利得、奥特斯ATS、萨帕铝热、葛兰素史克、伊美德，萨康，延锋百利得.、上海大众、上海通用、青岛海尔、飞利浦、东风汽车、宝钢集团、丰田汽车、奥特控股、乔治费歇尔、东风汽车悬架弹簧、东风汽车车桥、苏州耐普罗、武汉万兴、上海开利、普茨迈斯特机械(上海) 等国内外著名企业。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客户评价：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罗老师幽默、深入浅出，让我们明白了许多难以理解的知识。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分析问题切中要害、入木三分，令我们茅塞顿开！ 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咨询概念超前，但又注重实际应用；案例丰富并且主要来自本人的多年实践经验。 </w:t>
      </w:r>
    </w:p>
    <w:p>
      <w:pPr>
        <w:pStyle w:val="23"/>
        <w:numPr>
          <w:ilvl w:val="0"/>
          <w:numId w:val="3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睿智幽默的语言，充分调动学员参与度，气氛轻松活跃。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机敏而善于思考，能准确抓住学员疑问的关键点，并结合实践操作的体会予以解答，倍受青睐。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435EE"/>
    <w:multiLevelType w:val="singleLevel"/>
    <w:tmpl w:val="855435E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Bookshelf Symbol 7" w:hAnsi="Bookshelf Symbol 7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Bookshelf Symbol 7" w:hAnsi="Bookshelf Symbol 7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Bookshelf Symbol 7" w:hAnsi="Bookshelf Symbol 7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Bookshelf Symbol 7" w:hAnsi="Bookshelf Symbol 7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Bookshelf Symbol 7" w:hAnsi="Bookshelf Symbol 7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Bookshelf Symbol 7" w:hAnsi="Bookshelf Symbol 7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Bookshelf Symbol 7" w:hAnsi="Bookshelf Symbol 7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Bookshelf Symbol 7" w:hAnsi="Bookshelf Symbol 7"/>
      </w:rPr>
    </w:lvl>
  </w:abstractNum>
  <w:abstractNum w:abstractNumId="2">
    <w:nsid w:val="659439B4"/>
    <w:multiLevelType w:val="multilevel"/>
    <w:tmpl w:val="659439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A64F2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4514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9581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24045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0C94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06F5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289C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07333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08FF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3343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BF6BCF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56C72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11C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08D3"/>
    <w:rsid w:val="00FD1C0D"/>
    <w:rsid w:val="00FD503E"/>
    <w:rsid w:val="00FE0C20"/>
    <w:rsid w:val="00FE2DCF"/>
    <w:rsid w:val="00FE65F2"/>
    <w:rsid w:val="00FF0D14"/>
    <w:rsid w:val="00FF587B"/>
    <w:rsid w:val="12FD15B8"/>
    <w:rsid w:val="28FA2EF2"/>
    <w:rsid w:val="35BF0228"/>
    <w:rsid w:val="69D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96173-39F1-4547-8545-429CA7ABF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414</Words>
  <Characters>2361</Characters>
  <Lines>19</Lines>
  <Paragraphs>5</Paragraphs>
  <TotalTime>422</TotalTime>
  <ScaleCrop>false</ScaleCrop>
  <LinksUpToDate>false</LinksUpToDate>
  <CharactersWithSpaces>2770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2018-12-14T05:23:41Z</dcterms:modified>
  <dc:title>帕迪课程</dc:title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