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eastAsia="宋体"/>
          <w:bCs/>
          <w:sz w:val="22"/>
        </w:rPr>
      </w:pPr>
      <w:r>
        <w:rPr>
          <w:rFonts w:hint="eastAsia" w:ascii="宋体" w:hAnsi="宋体" w:eastAsia="宋体" w:cs="Times New Roman"/>
          <w:bCs/>
          <w:kern w:val="2"/>
          <w:sz w:val="22"/>
          <w:szCs w:val="22"/>
          <w:lang w:val="en-US" w:eastAsia="zh-CN" w:bidi="ar-SA"/>
        </w:rPr>
        <w:pict>
          <v:shape id="图片 0" o:spid="_x0000_s1026" type="#_x0000_t75" style="height:230.55pt;width:415.3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shd w:val="clear" w:color="auto" w:fill="FFFFFF"/>
        <w:spacing w:before="100" w:beforeAutospacing="1" w:after="100" w:afterAutospacing="1"/>
        <w:jc w:val="left"/>
        <w:rPr>
          <w:rFonts w:ascii="宋体" w:hAnsi="宋体" w:eastAsia="宋体" w:cs="Helvetica"/>
          <w:color w:val="3E3E3E"/>
          <w:kern w:val="0"/>
          <w:sz w:val="23"/>
          <w:szCs w:val="23"/>
        </w:rPr>
      </w:pPr>
      <w:r>
        <w:rPr>
          <w:rFonts w:hint="eastAsia" w:ascii="宋体" w:hAnsi="宋体" w:eastAsia="宋体" w:cs="Helvetica"/>
          <w:color w:val="3E3E3E"/>
          <w:kern w:val="0"/>
          <w:sz w:val="23"/>
          <w:szCs w:val="23"/>
        </w:rPr>
        <w:t>刘润《互联网+：传统企业互联网化之道》</w:t>
      </w:r>
    </w:p>
    <w:p>
      <w:pPr>
        <w:widowControl/>
        <w:shd w:val="clear" w:color="auto" w:fill="FFFFFF"/>
        <w:spacing w:before="100" w:beforeAutospacing="1" w:after="100" w:afterAutospacing="1"/>
        <w:jc w:val="left"/>
        <w:rPr>
          <w:rFonts w:ascii="宋体" w:hAnsi="宋体" w:eastAsia="宋体" w:cs="Helvetica"/>
          <w:color w:val="3E3E3E"/>
          <w:kern w:val="0"/>
          <w:sz w:val="23"/>
          <w:szCs w:val="23"/>
        </w:rPr>
      </w:pPr>
      <w:r>
        <w:rPr>
          <w:rFonts w:hint="eastAsia" w:ascii="宋体" w:hAnsi="宋体" w:eastAsia="宋体" w:cs="Helvetica"/>
          <w:color w:val="3E3E3E"/>
          <w:kern w:val="0"/>
          <w:sz w:val="23"/>
          <w:szCs w:val="23"/>
        </w:rPr>
        <w:t>开课时间：2015年6月13日9:00-6月14日16:30</w:t>
      </w:r>
    </w:p>
    <w:p>
      <w:pPr>
        <w:widowControl/>
        <w:shd w:val="clear" w:color="auto" w:fill="FFFFFF"/>
        <w:spacing w:before="100" w:beforeAutospacing="1" w:after="100" w:afterAutospacing="1"/>
        <w:jc w:val="left"/>
        <w:rPr>
          <w:rFonts w:ascii="宋体" w:hAnsi="宋体" w:eastAsia="宋体" w:cs="Helvetica"/>
          <w:color w:val="3E3E3E"/>
          <w:kern w:val="0"/>
          <w:sz w:val="23"/>
          <w:szCs w:val="23"/>
        </w:rPr>
      </w:pPr>
      <w:r>
        <w:rPr>
          <w:rFonts w:hint="eastAsia" w:ascii="宋体" w:hAnsi="宋体" w:eastAsia="宋体"/>
          <w:bCs/>
          <w:sz w:val="22"/>
        </w:rPr>
        <w:t>授课地点：上海建国宾馆（暂定）</w:t>
      </w:r>
    </w:p>
    <w:p>
      <w:pPr>
        <w:rPr>
          <w:rFonts w:ascii="宋体" w:hAnsi="宋体" w:eastAsia="宋体"/>
          <w:bCs/>
          <w:sz w:val="22"/>
        </w:rPr>
      </w:pPr>
      <w:r>
        <w:rPr>
          <w:rFonts w:hint="eastAsia" w:ascii="宋体" w:hAnsi="宋体" w:eastAsia="宋体"/>
          <w:bCs/>
          <w:sz w:val="22"/>
        </w:rPr>
        <w:t>地址：上海徐汇区漕溪北路439号</w:t>
      </w:r>
    </w:p>
    <w:p>
      <w:pPr>
        <w:rPr>
          <w:rFonts w:ascii="宋体" w:hAnsi="宋体" w:eastAsia="宋体"/>
          <w:bCs/>
          <w:sz w:val="22"/>
        </w:rPr>
      </w:pPr>
    </w:p>
    <w:p>
      <w:pPr>
        <w:rPr>
          <w:rFonts w:ascii="宋体" w:hAnsi="宋体" w:eastAsia="宋体"/>
          <w:bCs/>
          <w:sz w:val="22"/>
        </w:rPr>
      </w:pPr>
      <w:r>
        <w:rPr>
          <w:rFonts w:hint="eastAsia" w:ascii="宋体" w:hAnsi="宋体" w:eastAsia="宋体"/>
          <w:bCs/>
          <w:sz w:val="22"/>
        </w:rPr>
        <w:t>人数：100人</w:t>
      </w:r>
    </w:p>
    <w:p>
      <w:pPr>
        <w:rPr>
          <w:rFonts w:ascii="宋体" w:hAnsi="宋体" w:eastAsia="宋体"/>
          <w:bCs/>
          <w:sz w:val="22"/>
        </w:rPr>
      </w:pPr>
    </w:p>
    <w:p>
      <w:pPr>
        <w:rPr>
          <w:sz w:val="22"/>
        </w:rPr>
      </w:pPr>
      <w:r>
        <w:rPr>
          <w:rFonts w:hint="eastAsia"/>
          <w:sz w:val="22"/>
        </w:rPr>
        <w:t>课时：2天</w:t>
      </w:r>
    </w:p>
    <w:p>
      <w:pPr>
        <w:rPr>
          <w:sz w:val="22"/>
        </w:rPr>
      </w:pPr>
    </w:p>
    <w:p>
      <w:pPr>
        <w:rPr>
          <w:sz w:val="22"/>
        </w:rPr>
      </w:pPr>
      <w:r>
        <w:rPr>
          <w:rFonts w:hint="eastAsia"/>
          <w:sz w:val="22"/>
        </w:rPr>
        <w:t>费用：12800元/人</w:t>
      </w:r>
    </w:p>
    <w:p>
      <w:pPr>
        <w:rPr>
          <w:rFonts w:ascii="宋体" w:hAnsi="宋体" w:eastAsia="宋体"/>
          <w:bCs/>
          <w:sz w:val="2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eastAsia="宋体" w:cs="宋体"/>
          <w:color w:val="666666"/>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b/>
          <w:color w:val="0070C0"/>
          <w:kern w:val="0"/>
          <w:sz w:val="30"/>
          <w:szCs w:val="30"/>
        </w:rPr>
        <w:t>刘润是谁</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他是前微软战略总监、海尔集团战略顾问</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他的互联网方法论被雷军、俞敏洪等人击节赞赏</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吴晓波频道深圳转型大课上，他靠一张ppt迷倒上千学员</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假如你需要一堂课搞清楚互联网“+、-”法，无疑就是这一堂</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b/>
          <w:color w:val="0070C0"/>
          <w:kern w:val="0"/>
          <w:sz w:val="30"/>
          <w:szCs w:val="30"/>
        </w:rPr>
        <w:t>课程简介</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面对巨大的改变，2014年，几乎所有传统的企业家都开始思考如何转型。郁亮带领团队前往小米和海尔学习；杨元庆开通了新浪微博亲身感受社交媒体；柳传志公开向互联网人士求教如何卖好柳桃。越来越多企业不再“看不起”互联网，最大的问题变为：“看不懂”。</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因为互联网，到底商业环境发生了怎样的变化？2015年，我们又可以怎样“进化”？本课程将基于大量的案例帮大家解读互联网对传统企业的冲击，以及传统企业的互联网化之道。</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这是一个传统企业中高级管理人员必须立刻听的课程！这是一个传统企业投资研究人员必须立刻听的课程！这是一个任何有志提升核心竞争能力的企业或个人必须立刻听的课程！</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b/>
          <w:color w:val="0070C0"/>
          <w:kern w:val="0"/>
          <w:sz w:val="30"/>
          <w:szCs w:val="30"/>
        </w:rPr>
        <w:t>课程对象</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传统企业，尤其是传媒、零售、商业地产、金融、制造、餐饮、服装鞋帽、教育等行业的高级管理人员，及相关政府主管部门。</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b/>
          <w:color w:val="0070C0"/>
          <w:kern w:val="0"/>
          <w:sz w:val="30"/>
          <w:szCs w:val="30"/>
        </w:rPr>
        <w:t>讲师信息</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主讲讲师：刘润 润米咨询董事长、前微软战略合作总监</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特邀讲师：芮斌 卓越联创投资合伙人、前华为终端首席战略官</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b/>
          <w:color w:val="0070C0"/>
          <w:kern w:val="0"/>
          <w:sz w:val="30"/>
          <w:szCs w:val="30"/>
        </w:rPr>
        <w:t>课程大纲</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序篇 | 感知正在生成的未来</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第一章 2013，中国商业史的新分水岭</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......1984：中国企业家元年</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......1998-1999：中国互联网企业家元年</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......2013，互联网抛出三张致命“二向箔”</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......阿里对金融业的降维打击：余额宝</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 xml:space="preserve">......小米对电视业的降维打击：小米电视 </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......京东对零售业的降维打击：京东商城</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第二章 “商业距离”的改变：从地段、流量到时间</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......传统经济的距离刻度：地段</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......PC互联网的距离刻度：流量</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......移动互联网的距离刻度：时间</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......分析：移动互联网：抢夺用户时间</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......可穿戴设备时代正在到来</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......万物互联时代初露曙光</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上篇 | 深刻回归商业的本质</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第三章 一张图看懂传统企业互联网化</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......从万物互联，到消除距离，到信息对称</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......案例：一淘 vs. 线下店</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......案例：可口可乐 vs. 宝洁</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......案例：大众点评 vs. 麦当劳</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......所谓互联网化，就是再造三大价值</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......创造价值：设计，制造</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......传递价值：信息流，资金流，物流</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......用户价值：功能，体验，个性</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......分析：产品为王 -&gt;渠道为王 -&gt;用户为王</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......互联网化两大方向：从互联网-，到互联网+</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......一切互联网的优势，都是效率的优势</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第四章 “互联网+”的三大特征</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......用户主权：用户真正掌握主权，不再是我们，这是一个最大的变化</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......虚实结合：互联网物理化是大趋势</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......去中心化：未来20-30年，去中心化是不二法门</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 xml:space="preserve">......案例：你以为你的对手是友商，其实你的对手是时代 </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中篇 | 不要用战术的勤奋，掩盖战略的懒惰</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第五章 做产品，还是做平台</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......企业生命周期：战略</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......做产品，还是做平台</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......平台：引爆点</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......《免费》</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......产品：痛点</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 xml:space="preserve">......战略转型路径图 </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第六章 “互联网+”的三大商业模式</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......用户主权：C2B</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......案例：小米手机</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......案例：百度大数据</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......案例：罗辑思维</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......案例：滴滴打车</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......虚实结合：O2O</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......信息不对称（Online） vs. 时空不对称（Offline）</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......分析：中美互联网化的差异</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......O2O策略：5公里 -&gt;1公里-&gt;100米-&gt;零距离</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......案例：汪峰演唱会</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......去中心化：P2P</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......案例：Airbnb</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......案例：抗癌公社</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......案例：河狸家</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下篇 | 如何把转型，变为创业</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第七章 互联网时代的组织形态</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......企业生命周期：组织</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......企业的DNA：价值观、流程、资源</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......互联网时代的企业DNA</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......分析：远、小、变、快</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......组织转型路径图</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......案例：小微企业</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......案例：裂变式创业</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终篇 | 进化，进化，进化</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四个进化建议</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......逐步放弃基于信息不对称的既得利益</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......要做个基本决定，做产品，还是做平台？</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......提升组织效率、商业模式效率、技术效率</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......设计战略、组织转型路径图</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b/>
          <w:color w:val="0070C0"/>
          <w:kern w:val="0"/>
          <w:sz w:val="30"/>
          <w:szCs w:val="30"/>
        </w:rPr>
        <w:t xml:space="preserve"> 学员评价</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中午两点飞机从北京中欧商学院课堂飞到上海，慕名前来听您课！</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 百合传媒 总裁</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和您聊的两小时，比我过去一年学到的还要多！</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——海尔集团 部门总经理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刘润先生对互联网金融有深度研判，是负责任的思想家</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——华龙证券 董事长</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润总，自从听了您的课程，我的工作、生活以及看待问题的角度等在思路和方法上都发生变化。</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——华龙证券 人力资源总部 副总经理 </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震撼！</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——兴业证券 企业大学 校长</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rPr>
        <w:br/>
      </w:r>
      <w:r>
        <w:rPr>
          <w:rFonts w:ascii="宋体" w:hAnsi="宋体" w:eastAsia="宋体" w:cs="宋体"/>
          <w:kern w:val="0"/>
          <w:sz w:val="24"/>
          <w:szCs w:val="24"/>
        </w:rPr>
        <w:t>感谢刘老师精彩剖析，精炼明确的思维，清晰的条理，使纠结本人许久的困惑轻易化解，如不介意，在我以后的演讲中会不断插入你精辟的观点！</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——上海市“专精特新”中小企业领军人才培训班 学员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rPr>
        <w:br/>
      </w:r>
      <w:r>
        <w:rPr>
          <w:rFonts w:ascii="宋体" w:hAnsi="宋体" w:eastAsia="宋体" w:cs="宋体"/>
          <w:kern w:val="0"/>
          <w:sz w:val="24"/>
          <w:szCs w:val="24"/>
        </w:rPr>
        <w:t>刘老师今天鞭辟入里的剖析电子商务对传统行业的颠覆，对我们中小企业的发展有很大的启发。感谢刘老师。</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——上海市“专精特新”中小企业领军人才培训班 学员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rPr>
        <w:br/>
      </w:r>
      <w:r>
        <w:rPr>
          <w:rFonts w:ascii="宋体" w:hAnsi="宋体" w:eastAsia="宋体" w:cs="宋体"/>
          <w:kern w:val="0"/>
          <w:sz w:val="24"/>
          <w:szCs w:val="24"/>
        </w:rPr>
        <w:t>互联网转型专家刘润先生授课内容极富冲击力和启发：降维打击、万物互联、抢夺全维度时间……,世界和我们已经迎来前所未有的变革时代！唯有创新和自省才能不负于身处这样的时代。</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 维信理财 学员</w:t>
      </w:r>
      <w:r>
        <w:rPr>
          <w:rFonts w:ascii="宋体" w:hAnsi="宋体" w:eastAsia="宋体" w:cs="宋体"/>
          <w:kern w:val="0"/>
          <w:sz w:val="24"/>
          <w:szCs w:val="24"/>
        </w:rPr>
        <w:br/>
      </w:r>
      <w:r>
        <w:rPr>
          <w:rFonts w:ascii="宋体" w:hAnsi="宋体" w:eastAsia="宋体" w:cs="宋体"/>
          <w:kern w:val="0"/>
          <w:sz w:val="24"/>
          <w:szCs w:val="24"/>
        </w:rPr>
        <w:br/>
      </w:r>
      <w:r>
        <w:rPr>
          <w:rFonts w:ascii="宋体" w:hAnsi="宋体" w:eastAsia="宋体" w:cs="宋体"/>
          <w:kern w:val="0"/>
          <w:sz w:val="24"/>
          <w:szCs w:val="24"/>
        </w:rPr>
        <w:t>广州市300名老总，各路诸侯，能6个小时认真听课，实在罕见！</w:t>
      </w:r>
      <w:r>
        <w:rPr>
          <w:rFonts w:ascii="宋体" w:hAnsi="宋体" w:eastAsia="宋体" w:cs="宋体"/>
          <w:kern w:val="0"/>
          <w:sz w:val="24"/>
          <w:szCs w:val="24"/>
        </w:rPr>
        <w:br/>
      </w:r>
      <w:r>
        <w:rPr>
          <w:rFonts w:hint="eastAsia" w:ascii="宋体" w:hAnsi="宋体" w:eastAsia="宋体" w:cs="宋体"/>
          <w:kern w:val="0"/>
          <w:sz w:val="24"/>
          <w:szCs w:val="24"/>
        </w:rPr>
        <w:t xml:space="preserve">                                    </w:t>
      </w:r>
      <w:r>
        <w:rPr>
          <w:rFonts w:ascii="宋体" w:hAnsi="宋体" w:eastAsia="宋体" w:cs="宋体"/>
          <w:kern w:val="0"/>
          <w:sz w:val="24"/>
          <w:szCs w:val="24"/>
        </w:rPr>
        <w:t>——广州地铁小额贷款有限公司 学员</w:t>
      </w:r>
      <w:r>
        <w:rPr>
          <w:rFonts w:ascii="宋体" w:hAnsi="宋体" w:eastAsia="宋体" w:cs="宋体"/>
          <w:kern w:val="0"/>
          <w:sz w:val="24"/>
          <w:szCs w:val="24"/>
        </w:rPr>
        <w:br/>
      </w:r>
      <w:r>
        <w:rPr>
          <w:rFonts w:ascii="宋体" w:hAnsi="宋体" w:eastAsia="宋体" w:cs="宋体"/>
          <w:kern w:val="0"/>
          <w:sz w:val="24"/>
          <w:szCs w:val="24"/>
        </w:rPr>
        <w:br/>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咨询老师：杜老师  13121135903</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lang w:val="en-US"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咨询电话:010-51285512 010-51285513</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lang w:val="en-US"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lang w:val="en-US" w:eastAsia="zh-CN"/>
        </w:rPr>
        <w:t>传真：010-51413865</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rPr>
        <w:br/>
      </w:r>
    </w:p>
    <w:p/>
    <w:p/>
    <w:p/>
    <w:p/>
    <w:p/>
    <w:p/>
    <w:p>
      <w:pPr>
        <w:ind w:right="-171"/>
        <w:jc w:val="center"/>
        <w:rPr>
          <w:rFonts w:ascii="华文新魏" w:eastAsia="华文新魏"/>
          <w:b/>
          <w:sz w:val="40"/>
          <w:szCs w:val="40"/>
        </w:rPr>
      </w:pPr>
      <w:r>
        <w:rPr>
          <w:rFonts w:hint="eastAsia" w:ascii="华文新魏" w:eastAsia="华文新魏"/>
          <w:b/>
          <w:sz w:val="40"/>
          <w:szCs w:val="40"/>
        </w:rPr>
        <w:t xml:space="preserve">2015转型系列课程报名申请表  </w:t>
      </w:r>
    </w:p>
    <w:tbl>
      <w:tblPr>
        <w:tblStyle w:val="6"/>
        <w:tblW w:w="9940" w:type="dxa"/>
        <w:tblInd w:w="118" w:type="dxa"/>
        <w:shd w:val="pct10" w:color="auto" w:fill="auto"/>
        <w:tblLayout w:type="fixed"/>
        <w:tblCellMar>
          <w:top w:w="0" w:type="dxa"/>
          <w:left w:w="108" w:type="dxa"/>
          <w:bottom w:w="0" w:type="dxa"/>
          <w:right w:w="108" w:type="dxa"/>
        </w:tblCellMar>
      </w:tblPr>
      <w:tblGrid>
        <w:gridCol w:w="1080"/>
        <w:gridCol w:w="1080"/>
        <w:gridCol w:w="880"/>
        <w:gridCol w:w="919"/>
        <w:gridCol w:w="1134"/>
        <w:gridCol w:w="807"/>
        <w:gridCol w:w="1080"/>
        <w:gridCol w:w="880"/>
        <w:gridCol w:w="2080"/>
      </w:tblGrid>
      <w:tr>
        <w:tblPrEx>
          <w:shd w:val="pct10" w:color="auto" w:fill="auto"/>
          <w:tblLayout w:type="fixed"/>
          <w:tblCellMar>
            <w:top w:w="0" w:type="dxa"/>
            <w:left w:w="108" w:type="dxa"/>
            <w:bottom w:w="0" w:type="dxa"/>
            <w:right w:w="108" w:type="dxa"/>
          </w:tblCellMar>
        </w:tblPrEx>
        <w:trPr>
          <w:trHeight w:val="720" w:hRule="atLeast"/>
        </w:trPr>
        <w:tc>
          <w:tcPr>
            <w:tcW w:w="1080" w:type="dxa"/>
            <w:tcBorders>
              <w:top w:val="single" w:color="auto" w:sz="8" w:space="0"/>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姓　名</w:t>
            </w:r>
          </w:p>
        </w:tc>
        <w:tc>
          <w:tcPr>
            <w:tcW w:w="1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919" w:type="dxa"/>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性　别</w:t>
            </w:r>
          </w:p>
        </w:tc>
        <w:tc>
          <w:tcPr>
            <w:tcW w:w="1134" w:type="dxa"/>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807" w:type="dxa"/>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出生年月</w:t>
            </w:r>
          </w:p>
        </w:tc>
        <w:tc>
          <w:tcPr>
            <w:tcW w:w="1960" w:type="dxa"/>
            <w:gridSpan w:val="2"/>
            <w:tcBorders>
              <w:top w:val="single" w:color="auto" w:sz="8" w:space="0"/>
              <w:left w:val="nil"/>
              <w:bottom w:val="single" w:color="auto" w:sz="8" w:space="0"/>
              <w:right w:val="nil"/>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2080" w:type="dxa"/>
            <w:vMerge w:val="restart"/>
            <w:tcBorders>
              <w:top w:val="single" w:color="auto" w:sz="8" w:space="0"/>
              <w:left w:val="single" w:color="auto" w:sz="8" w:space="0"/>
              <w:bottom w:val="single" w:color="000000" w:sz="8" w:space="0"/>
              <w:right w:val="single" w:color="auto" w:sz="8" w:space="0"/>
            </w:tcBorders>
            <w:shd w:val="pct10" w:color="auto" w:fill="auto"/>
            <w:textDirection w:val="tbRlV"/>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照　　　片</w:t>
            </w:r>
          </w:p>
        </w:tc>
      </w:tr>
      <w:tr>
        <w:tblPrEx>
          <w:tblLayout w:type="fixed"/>
          <w:tblCellMar>
            <w:top w:w="0" w:type="dxa"/>
            <w:left w:w="108" w:type="dxa"/>
            <w:bottom w:w="0" w:type="dxa"/>
            <w:right w:w="108" w:type="dxa"/>
          </w:tblCellMar>
        </w:tblPrEx>
        <w:trPr>
          <w:trHeight w:val="54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国　籍</w:t>
            </w:r>
          </w:p>
        </w:tc>
        <w:tc>
          <w:tcPr>
            <w:tcW w:w="1080" w:type="dxa"/>
            <w:tcBorders>
              <w:top w:val="nil"/>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1799"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身份证号码</w:t>
            </w:r>
          </w:p>
        </w:tc>
        <w:tc>
          <w:tcPr>
            <w:tcW w:w="3901" w:type="dxa"/>
            <w:gridSpan w:val="4"/>
            <w:tcBorders>
              <w:top w:val="single" w:color="auto" w:sz="8" w:space="0"/>
              <w:left w:val="nil"/>
              <w:bottom w:val="single" w:color="auto" w:sz="8" w:space="0"/>
              <w:right w:val="nil"/>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Cs w:val="21"/>
              </w:rPr>
            </w:pP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学　历</w:t>
            </w:r>
          </w:p>
        </w:tc>
        <w:tc>
          <w:tcPr>
            <w:tcW w:w="2879" w:type="dxa"/>
            <w:gridSpan w:val="3"/>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1134" w:type="dxa"/>
            <w:tcBorders>
              <w:top w:val="nil"/>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英语水平</w:t>
            </w:r>
          </w:p>
        </w:tc>
        <w:tc>
          <w:tcPr>
            <w:tcW w:w="2767" w:type="dxa"/>
            <w:gridSpan w:val="3"/>
            <w:tcBorders>
              <w:top w:val="single" w:color="auto" w:sz="8" w:space="0"/>
              <w:left w:val="nil"/>
              <w:bottom w:val="single" w:color="auto" w:sz="8" w:space="0"/>
              <w:right w:val="nil"/>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Cs w:val="21"/>
              </w:rPr>
            </w:pPr>
          </w:p>
        </w:tc>
      </w:tr>
      <w:tr>
        <w:tblPrEx>
          <w:tblLayout w:type="fixed"/>
          <w:tblCellMar>
            <w:top w:w="0" w:type="dxa"/>
            <w:left w:w="108" w:type="dxa"/>
            <w:bottom w:w="0" w:type="dxa"/>
            <w:right w:w="108" w:type="dxa"/>
          </w:tblCellMar>
        </w:tblPrEx>
        <w:trPr>
          <w:trHeight w:val="48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毕业院校</w:t>
            </w:r>
          </w:p>
        </w:tc>
        <w:tc>
          <w:tcPr>
            <w:tcW w:w="1080" w:type="dxa"/>
            <w:tcBorders>
              <w:top w:val="nil"/>
              <w:left w:val="nil"/>
              <w:bottom w:val="single" w:color="auto" w:sz="8" w:space="0"/>
              <w:right w:val="nil"/>
            </w:tcBorders>
            <w:shd w:val="pct10" w:color="auto" w:fill="auto"/>
            <w:vAlign w:val="center"/>
          </w:tcPr>
          <w:p>
            <w:pPr>
              <w:widowControl/>
              <w:adjustRightInd/>
              <w:spacing w:line="240" w:lineRule="auto"/>
              <w:jc w:val="left"/>
              <w:textAlignment w:val="auto"/>
              <w:rPr>
                <w:rFonts w:hint="eastAsia"/>
                <w:color w:val="000000"/>
                <w:sz w:val="24"/>
                <w:szCs w:val="24"/>
              </w:rPr>
            </w:pPr>
            <w:r>
              <w:rPr>
                <w:color w:val="000000"/>
                <w:sz w:val="24"/>
                <w:szCs w:val="24"/>
              </w:rPr>
              <w:t>　</w:t>
            </w:r>
          </w:p>
        </w:tc>
        <w:tc>
          <w:tcPr>
            <w:tcW w:w="880" w:type="dxa"/>
            <w:tcBorders>
              <w:top w:val="nil"/>
              <w:left w:val="nil"/>
              <w:bottom w:val="single" w:color="auto" w:sz="8" w:space="0"/>
              <w:right w:val="nil"/>
            </w:tcBorders>
            <w:shd w:val="pct10" w:color="auto" w:fill="auto"/>
            <w:vAlign w:val="center"/>
          </w:tcPr>
          <w:p>
            <w:pPr>
              <w:widowControl/>
              <w:adjustRightInd/>
              <w:spacing w:line="240" w:lineRule="auto"/>
              <w:jc w:val="left"/>
              <w:textAlignment w:val="auto"/>
              <w:rPr>
                <w:color w:val="000000"/>
                <w:sz w:val="24"/>
                <w:szCs w:val="24"/>
              </w:rPr>
            </w:pPr>
            <w:r>
              <w:rPr>
                <w:color w:val="000000"/>
                <w:sz w:val="24"/>
                <w:szCs w:val="24"/>
              </w:rPr>
              <w:t>　</w:t>
            </w:r>
          </w:p>
        </w:tc>
        <w:tc>
          <w:tcPr>
            <w:tcW w:w="919" w:type="dxa"/>
            <w:tcBorders>
              <w:top w:val="nil"/>
              <w:left w:val="nil"/>
              <w:bottom w:val="single" w:color="auto" w:sz="8" w:space="0"/>
              <w:right w:val="nil"/>
            </w:tcBorders>
            <w:shd w:val="pct10" w:color="auto" w:fill="auto"/>
            <w:vAlign w:val="center"/>
          </w:tcPr>
          <w:p>
            <w:pPr>
              <w:widowControl/>
              <w:adjustRightInd/>
              <w:spacing w:line="240" w:lineRule="auto"/>
              <w:jc w:val="left"/>
              <w:textAlignment w:val="auto"/>
              <w:rPr>
                <w:color w:val="000000"/>
                <w:sz w:val="24"/>
                <w:szCs w:val="24"/>
              </w:rPr>
            </w:pPr>
            <w:r>
              <w:rPr>
                <w:color w:val="000000"/>
                <w:sz w:val="24"/>
                <w:szCs w:val="24"/>
              </w:rPr>
              <w:t>　</w:t>
            </w:r>
          </w:p>
        </w:tc>
        <w:tc>
          <w:tcPr>
            <w:tcW w:w="1134"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所学专业</w:t>
            </w:r>
          </w:p>
        </w:tc>
        <w:tc>
          <w:tcPr>
            <w:tcW w:w="2767" w:type="dxa"/>
            <w:gridSpan w:val="3"/>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Cs w:val="21"/>
              </w:rPr>
            </w:pP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公司名称</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nil"/>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工作部门</w:t>
            </w:r>
          </w:p>
        </w:tc>
        <w:tc>
          <w:tcPr>
            <w:tcW w:w="2960" w:type="dxa"/>
            <w:gridSpan w:val="2"/>
            <w:tcBorders>
              <w:top w:val="single" w:color="auto" w:sz="8" w:space="0"/>
              <w:left w:val="nil"/>
              <w:bottom w:val="nil"/>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r>
      <w:tr>
        <w:tblPrEx>
          <w:tblLayout w:type="fixed"/>
          <w:tblCellMar>
            <w:top w:w="0" w:type="dxa"/>
            <w:left w:w="108" w:type="dxa"/>
            <w:bottom w:w="0" w:type="dxa"/>
            <w:right w:w="108" w:type="dxa"/>
          </w:tblCellMar>
        </w:tblPrEx>
        <w:trPr>
          <w:trHeight w:val="48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公司性质</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所属行业</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现任职位</w:t>
            </w:r>
          </w:p>
        </w:tc>
        <w:tc>
          <w:tcPr>
            <w:tcW w:w="4013" w:type="dxa"/>
            <w:gridSpan w:val="4"/>
            <w:tcBorders>
              <w:top w:val="single" w:color="auto" w:sz="8" w:space="0"/>
              <w:left w:val="nil"/>
              <w:bottom w:val="nil"/>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1887" w:type="dxa"/>
            <w:gridSpan w:val="2"/>
            <w:tcBorders>
              <w:top w:val="nil"/>
              <w:left w:val="nil"/>
              <w:bottom w:val="nil"/>
              <w:right w:val="single" w:color="auto" w:sz="4"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下属人数</w:t>
            </w:r>
          </w:p>
        </w:tc>
        <w:tc>
          <w:tcPr>
            <w:tcW w:w="2960" w:type="dxa"/>
            <w:gridSpan w:val="2"/>
            <w:tcBorders>
              <w:top w:val="single" w:color="auto" w:sz="8" w:space="0"/>
              <w:left w:val="single" w:color="auto" w:sz="8" w:space="0"/>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r>
      <w:tr>
        <w:tblPrEx>
          <w:tblLayout w:type="fixed"/>
          <w:tblCellMar>
            <w:top w:w="0" w:type="dxa"/>
            <w:left w:w="108" w:type="dxa"/>
            <w:bottom w:w="0" w:type="dxa"/>
            <w:right w:w="108" w:type="dxa"/>
          </w:tblCellMar>
        </w:tblPrEx>
        <w:trPr>
          <w:trHeight w:val="46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公司地址</w:t>
            </w:r>
          </w:p>
        </w:tc>
        <w:tc>
          <w:tcPr>
            <w:tcW w:w="8860" w:type="dxa"/>
            <w:gridSpan w:val="8"/>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公司电话</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手　机</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color w:val="000000"/>
                <w:szCs w:val="21"/>
              </w:rPr>
            </w:pPr>
            <w:r>
              <w:rPr>
                <w:color w:val="000000"/>
                <w:szCs w:val="21"/>
              </w:rPr>
              <w:t>E-mail</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ascii="宋体" w:hAns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传　真</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1133"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4"/>
                <w:szCs w:val="24"/>
              </w:rPr>
            </w:pPr>
            <w:r>
              <w:rPr>
                <w:rFonts w:hint="eastAsia" w:ascii="宋体" w:hAnsi="宋体" w:cs="宋体"/>
                <w:color w:val="000000"/>
                <w:sz w:val="24"/>
                <w:szCs w:val="24"/>
              </w:rPr>
              <w:t>您希望参加的课程？</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numPr>
                <w:ilvl w:val="0"/>
                <w:numId w:val="1"/>
              </w:numPr>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吴晓波《避免败局》：2015年6月6-7日（上海）</w:t>
            </w:r>
          </w:p>
          <w:p>
            <w:pPr>
              <w:widowControl/>
              <w:numPr>
                <w:ilvl w:val="0"/>
                <w:numId w:val="1"/>
              </w:numPr>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刘润《互联网+：传统企业互联网化之道》:2015年6月13-14日（上海）</w:t>
            </w:r>
          </w:p>
        </w:tc>
      </w:tr>
      <w:tr>
        <w:tblPrEx>
          <w:tblLayout w:type="fixed"/>
          <w:tblCellMar>
            <w:top w:w="0" w:type="dxa"/>
            <w:left w:w="108" w:type="dxa"/>
            <w:bottom w:w="0" w:type="dxa"/>
            <w:right w:w="108" w:type="dxa"/>
          </w:tblCellMar>
        </w:tblPrEx>
        <w:trPr>
          <w:trHeight w:val="184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4"/>
                <w:szCs w:val="24"/>
              </w:rPr>
            </w:pPr>
            <w:r>
              <w:rPr>
                <w:rFonts w:hint="eastAsia" w:ascii="宋体" w:hAnsi="宋体" w:cs="宋体"/>
                <w:color w:val="000000"/>
                <w:sz w:val="24"/>
                <w:szCs w:val="24"/>
              </w:rPr>
              <w:t>您希望从本课程中取得哪些收获？</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 企业战略  □ 品牌营销  □ 资本运作  □ 政商关系  □ 互联网经济</w:t>
            </w:r>
            <w:r>
              <w:rPr>
                <w:rFonts w:hint="eastAsia" w:ascii="宋体" w:hAnsi="宋体" w:cs="宋体"/>
                <w:color w:val="000000"/>
                <w:sz w:val="22"/>
                <w:szCs w:val="22"/>
              </w:rPr>
              <w:br/>
            </w:r>
            <w:r>
              <w:rPr>
                <w:rFonts w:hint="eastAsia" w:ascii="宋体" w:hAnsi="宋体" w:cs="宋体"/>
                <w:color w:val="000000"/>
                <w:sz w:val="22"/>
                <w:szCs w:val="22"/>
              </w:rPr>
              <w:t>□ 其他、_________________________________________________________________________</w:t>
            </w:r>
          </w:p>
        </w:tc>
      </w:tr>
      <w:tr>
        <w:tblPrEx>
          <w:tblLayout w:type="fixed"/>
          <w:tblCellMar>
            <w:top w:w="0" w:type="dxa"/>
            <w:left w:w="108" w:type="dxa"/>
            <w:bottom w:w="0" w:type="dxa"/>
            <w:right w:w="108" w:type="dxa"/>
          </w:tblCellMar>
        </w:tblPrEx>
        <w:trPr>
          <w:trHeight w:val="1131"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4"/>
                <w:szCs w:val="24"/>
              </w:rPr>
            </w:pPr>
            <w:r>
              <w:rPr>
                <w:rFonts w:hint="eastAsia" w:ascii="宋体" w:hAnsi="宋体" w:cs="宋体"/>
                <w:color w:val="000000"/>
                <w:sz w:val="24"/>
                <w:szCs w:val="24"/>
              </w:rPr>
              <w:t>您希望我们拟邀的专家？</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　</w:t>
            </w:r>
            <w:bookmarkStart w:id="0" w:name="_GoBack"/>
            <w:bookmarkEnd w:id="0"/>
          </w:p>
        </w:tc>
      </w:tr>
      <w:tr>
        <w:tblPrEx>
          <w:tblLayout w:type="fixed"/>
          <w:tblCellMar>
            <w:top w:w="0" w:type="dxa"/>
            <w:left w:w="108" w:type="dxa"/>
            <w:bottom w:w="0" w:type="dxa"/>
            <w:right w:w="108" w:type="dxa"/>
          </w:tblCellMar>
        </w:tblPrEx>
        <w:trPr>
          <w:trHeight w:val="1230" w:hRule="atLeast"/>
        </w:trPr>
        <w:tc>
          <w:tcPr>
            <w:tcW w:w="9940" w:type="dxa"/>
            <w:gridSpan w:val="9"/>
            <w:vMerge w:val="restart"/>
            <w:tcBorders>
              <w:top w:val="single" w:color="auto" w:sz="8" w:space="0"/>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其他信息：您是通过什么途径了解此课程的？</w:t>
            </w:r>
            <w:r>
              <w:rPr>
                <w:rFonts w:hint="eastAsia" w:ascii="宋体" w:hAnsi="宋体" w:cs="宋体"/>
                <w:color w:val="000000"/>
                <w:sz w:val="22"/>
                <w:szCs w:val="22"/>
              </w:rPr>
              <w:br/>
            </w:r>
            <w:r>
              <w:rPr>
                <w:rFonts w:hint="eastAsia" w:ascii="宋体" w:hAnsi="宋体" w:cs="宋体"/>
                <w:color w:val="000000"/>
                <w:sz w:val="22"/>
                <w:szCs w:val="22"/>
              </w:rPr>
              <w:t xml:space="preserve">□收到课程介绍资料　请注明：□邮件　  □短信　  □DM　  □其他　　　　　　　　 </w:t>
            </w:r>
            <w:r>
              <w:rPr>
                <w:rFonts w:hint="eastAsia" w:ascii="宋体" w:hAnsi="宋体" w:cs="宋体"/>
                <w:color w:val="000000"/>
                <w:sz w:val="22"/>
                <w:szCs w:val="22"/>
              </w:rPr>
              <w:br/>
            </w:r>
            <w:r>
              <w:rPr>
                <w:rFonts w:hint="eastAsia" w:ascii="宋体" w:hAnsi="宋体" w:cs="宋体"/>
                <w:color w:val="000000"/>
                <w:sz w:val="22"/>
                <w:szCs w:val="22"/>
              </w:rPr>
              <w:t>□由同事或朋友介绍　请注明：□公司同事　□朋友　□其他　　　　　　　　　　　　　　　　　</w:t>
            </w:r>
            <w:r>
              <w:rPr>
                <w:rFonts w:hint="eastAsia" w:ascii="宋体" w:hAnsi="宋体" w:cs="宋体"/>
                <w:color w:val="000000"/>
                <w:sz w:val="22"/>
                <w:szCs w:val="22"/>
              </w:rPr>
              <w:br/>
            </w:r>
            <w:r>
              <w:rPr>
                <w:rFonts w:hint="eastAsia" w:ascii="宋体" w:hAnsi="宋体" w:cs="宋体"/>
                <w:color w:val="000000"/>
                <w:sz w:val="22"/>
                <w:szCs w:val="22"/>
              </w:rPr>
              <w:t>□吴晓波频道  □百度搜索  □谷歌搜索  □其他　　　　　　　　　　　　　　　　　　　　　　　　　　　　　　　　　　　　　　　</w:t>
            </w:r>
          </w:p>
        </w:tc>
      </w:tr>
      <w:tr>
        <w:tblPrEx>
          <w:tblLayout w:type="fixed"/>
          <w:tblCellMar>
            <w:top w:w="0" w:type="dxa"/>
            <w:left w:w="108" w:type="dxa"/>
            <w:bottom w:w="0" w:type="dxa"/>
            <w:right w:w="108" w:type="dxa"/>
          </w:tblCellMar>
        </w:tblPrEx>
        <w:trPr>
          <w:trHeight w:val="630" w:hRule="atLeast"/>
        </w:trPr>
        <w:tc>
          <w:tcPr>
            <w:tcW w:w="9940" w:type="dxa"/>
            <w:gridSpan w:val="9"/>
            <w:vMerge w:val="continue"/>
            <w:tcBorders>
              <w:top w:val="single" w:color="auto" w:sz="8" w:space="0"/>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 w:val="22"/>
                <w:szCs w:val="22"/>
              </w:rPr>
            </w:pPr>
          </w:p>
        </w:tc>
      </w:tr>
    </w:tbl>
    <w:p>
      <w:pPr>
        <w:ind w:right="-171"/>
        <w:rPr>
          <w:rFonts w:hint="eastAsia" w:ascii="华文新魏" w:eastAsia="华文新魏"/>
          <w:b/>
          <w:sz w:val="32"/>
          <w:szCs w:val="32"/>
        </w:rPr>
      </w:pPr>
    </w:p>
    <w:p>
      <w:pPr>
        <w:ind w:right="139" w:rightChars="66"/>
        <w:rPr>
          <w:rFonts w:ascii="宋体" w:hAnsi="宋体"/>
          <w:b/>
          <w:sz w:val="18"/>
          <w:szCs w:val="1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Helvetica">
    <w:altName w:val="Arial"/>
    <w:panose1 w:val="020B0604020202020204"/>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73246485">
    <w:nsid w:val="4BE43315"/>
    <w:multiLevelType w:val="multilevel"/>
    <w:tmpl w:val="4BE43315"/>
    <w:lvl w:ilvl="0" w:tentative="1">
      <w:start w:val="0"/>
      <w:numFmt w:val="bullet"/>
      <w:lvlText w:val="□"/>
      <w:lvlJc w:val="left"/>
      <w:pPr>
        <w:ind w:left="360" w:hanging="360"/>
      </w:pPr>
      <w:rPr>
        <w:rFonts w:hint="eastAsia" w:ascii="宋体" w:hAnsi="宋体" w:eastAsia="宋体" w:cs="宋体"/>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273246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F17C9"/>
    <w:rsid w:val="0001664B"/>
    <w:rsid w:val="000D3CC7"/>
    <w:rsid w:val="001A5011"/>
    <w:rsid w:val="002A73BB"/>
    <w:rsid w:val="004B6AED"/>
    <w:rsid w:val="00744CC8"/>
    <w:rsid w:val="007F17C9"/>
    <w:rsid w:val="00C15977"/>
    <w:rsid w:val="10612C4A"/>
    <w:rsid w:val="2C787947"/>
    <w:rsid w:val="64B941CC"/>
    <w:rsid w:val="73F40F9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7">
    <w:name w:val="HTML 预设格式 Char"/>
    <w:basedOn w:val="5"/>
    <w:link w:val="4"/>
    <w:semiHidden/>
    <w:uiPriority w:val="99"/>
    <w:rPr>
      <w:rFonts w:ascii="宋体" w:hAnsi="宋体" w:eastAsia="宋体" w:cs="宋体"/>
      <w:kern w:val="0"/>
      <w:sz w:val="24"/>
      <w:szCs w:val="24"/>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450</Words>
  <Characters>2566</Characters>
  <Lines>21</Lines>
  <Paragraphs>6</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2015-05-18T06:04:00Z</dcterms:created>
  <dc:creator>微软用户</dc:creator>
  <cp:lastModifiedBy>hua-seo</cp:lastModifiedBy>
  <dcterms:modified xsi:type="dcterms:W3CDTF">2015-05-25T07:36:01Z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